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074D" w14:textId="73CD1057" w:rsidR="003F1237" w:rsidRPr="00490742" w:rsidRDefault="003F1237" w:rsidP="001C34ED">
      <w:pPr>
        <w:jc w:val="both"/>
        <w:rPr>
          <w:i/>
        </w:rPr>
      </w:pPr>
      <w:r w:rsidRPr="00490742">
        <w:rPr>
          <w:i/>
        </w:rPr>
        <w:t xml:space="preserve">The tax laws continue to provide opportunities for the wise and traps for the unwary. Often, tax savings can be achieved by taking action before the year-end. The information and strategies discussed herein may or may not be appropriate for your situation. Remember to consult with your tax professional before implementing them. </w:t>
      </w:r>
    </w:p>
    <w:p w14:paraId="114302E5" w14:textId="77777777" w:rsidR="003F1237" w:rsidRPr="00795943" w:rsidRDefault="003F1237" w:rsidP="00243556">
      <w:r w:rsidRPr="00795943">
        <w:t>__________________________________________</w:t>
      </w:r>
    </w:p>
    <w:p w14:paraId="52D2D0A6" w14:textId="77777777" w:rsidR="001C2973" w:rsidRPr="00795943" w:rsidRDefault="001C2973" w:rsidP="00243556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7C9B58C0" w14:textId="77777777" w:rsidR="00175CF8" w:rsidRPr="0086542F" w:rsidRDefault="00127BE2" w:rsidP="001C34ED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i/>
          <w:sz w:val="36"/>
          <w:szCs w:val="36"/>
        </w:rPr>
      </w:pPr>
      <w:r w:rsidRPr="0086542F">
        <w:rPr>
          <w:rFonts w:ascii="Times New Roman" w:hAnsi="Times New Roman"/>
          <w:b/>
          <w:bCs/>
          <w:i/>
          <w:sz w:val="36"/>
          <w:szCs w:val="36"/>
        </w:rPr>
        <w:t>New Tax Laws</w:t>
      </w:r>
    </w:p>
    <w:p w14:paraId="6EA8C5E4" w14:textId="77777777" w:rsidR="00127BE2" w:rsidRPr="00F101DF" w:rsidRDefault="00127BE2" w:rsidP="00243556">
      <w:pPr>
        <w:rPr>
          <w:color w:val="FF0000"/>
        </w:rPr>
      </w:pPr>
    </w:p>
    <w:p w14:paraId="19BB273B" w14:textId="01190741" w:rsidR="00795943" w:rsidRPr="00E626DF" w:rsidRDefault="00795943" w:rsidP="001C34ED">
      <w:pPr>
        <w:jc w:val="both"/>
      </w:pPr>
      <w:r w:rsidRPr="00E626DF">
        <w:t xml:space="preserve">The </w:t>
      </w:r>
      <w:r w:rsidR="007A663C" w:rsidRPr="00E626DF">
        <w:t xml:space="preserve">Inflation Reduction Act </w:t>
      </w:r>
      <w:r w:rsidR="003936C9" w:rsidRPr="00E626DF">
        <w:t xml:space="preserve">was </w:t>
      </w:r>
      <w:r w:rsidRPr="00E626DF">
        <w:t xml:space="preserve">passed by Congress and </w:t>
      </w:r>
      <w:r w:rsidR="003936C9" w:rsidRPr="00E626DF">
        <w:t>signed</w:t>
      </w:r>
      <w:r w:rsidRPr="00E626DF">
        <w:t xml:space="preserve"> into law by President Joe Biden on </w:t>
      </w:r>
      <w:r w:rsidR="0002147E" w:rsidRPr="00E626DF">
        <w:t>August 16, 2022</w:t>
      </w:r>
      <w:r w:rsidR="003936C9" w:rsidRPr="00E626DF">
        <w:t>,</w:t>
      </w:r>
      <w:r w:rsidR="00EF3FD6" w:rsidRPr="00E626DF">
        <w:t xml:space="preserve"> with the goal</w:t>
      </w:r>
      <w:r w:rsidR="005B7AE9" w:rsidRPr="00E626DF">
        <w:t xml:space="preserve"> to curb inflation by reducing the deficit, lowering prescription drug prices, and investing into domestic energy production while promoting clean energy.</w:t>
      </w:r>
      <w:r w:rsidR="003F50D9">
        <w:t xml:space="preserve"> The main point applica</w:t>
      </w:r>
      <w:r w:rsidR="007809B5">
        <w:t xml:space="preserve">ble to the average taxpayer include electric vehicle tax credits and credits for making energy efficient improvements to your home. </w:t>
      </w:r>
    </w:p>
    <w:p w14:paraId="36F427BF" w14:textId="77777777" w:rsidR="00405486" w:rsidRDefault="00405486" w:rsidP="001C34ED">
      <w:pPr>
        <w:jc w:val="both"/>
        <w:rPr>
          <w:b/>
          <w:bCs/>
        </w:rPr>
      </w:pPr>
    </w:p>
    <w:p w14:paraId="459B28E3" w14:textId="05E9E268" w:rsidR="00571ADB" w:rsidRDefault="007809B5" w:rsidP="001C34ED">
      <w:pPr>
        <w:jc w:val="both"/>
      </w:pPr>
      <w:r w:rsidRPr="007809B5">
        <w:rPr>
          <w:b/>
          <w:bCs/>
        </w:rPr>
        <w:t>Electric vehicle credits</w:t>
      </w:r>
      <w:r w:rsidR="00405486">
        <w:rPr>
          <w:b/>
          <w:bCs/>
        </w:rPr>
        <w:t xml:space="preserve">. </w:t>
      </w:r>
      <w:r w:rsidR="003C3B7C">
        <w:t xml:space="preserve">Major changes were made </w:t>
      </w:r>
      <w:r w:rsidR="002375E8">
        <w:t>t</w:t>
      </w:r>
      <w:r w:rsidR="003C3B7C">
        <w:t xml:space="preserve">o the </w:t>
      </w:r>
      <w:r w:rsidR="002375E8">
        <w:t>federal tax credits for purchasing electric vehicles</w:t>
      </w:r>
      <w:r w:rsidR="00242597">
        <w:t xml:space="preserve"> (EV)</w:t>
      </w:r>
      <w:r w:rsidR="002375E8">
        <w:t>. Some</w:t>
      </w:r>
      <w:r w:rsidR="00767FD3">
        <w:t xml:space="preserve"> of those </w:t>
      </w:r>
      <w:r w:rsidR="007E2FBD">
        <w:t xml:space="preserve">tax law </w:t>
      </w:r>
      <w:r w:rsidR="00767FD3">
        <w:t>changes include:</w:t>
      </w:r>
    </w:p>
    <w:p w14:paraId="02484130" w14:textId="77777777" w:rsidR="001C34ED" w:rsidRDefault="001C34ED" w:rsidP="001C34ED">
      <w:pPr>
        <w:jc w:val="both"/>
      </w:pPr>
    </w:p>
    <w:p w14:paraId="419A22D7" w14:textId="1BBE38EA" w:rsidR="00767FD3" w:rsidRDefault="00767FD3" w:rsidP="001C34ED">
      <w:pPr>
        <w:pStyle w:val="ListParagraph"/>
        <w:numPr>
          <w:ilvl w:val="0"/>
          <w:numId w:val="37"/>
        </w:numPr>
        <w:jc w:val="both"/>
      </w:pPr>
      <w:r>
        <w:t>Effective immediately, qualifying vehicles must be assembled in North America.</w:t>
      </w:r>
    </w:p>
    <w:p w14:paraId="51376B92" w14:textId="77777777" w:rsidR="00767FD3" w:rsidRDefault="00767FD3" w:rsidP="001C34ED">
      <w:pPr>
        <w:pStyle w:val="ListParagraph"/>
        <w:numPr>
          <w:ilvl w:val="0"/>
          <w:numId w:val="37"/>
        </w:numPr>
        <w:jc w:val="both"/>
      </w:pPr>
      <w:r>
        <w:t>Starting in 2023, increasing percentages of battery minerals and components must be sourced from the U.S. or from one of its free-trade partners.</w:t>
      </w:r>
    </w:p>
    <w:p w14:paraId="5626953B" w14:textId="475EF455" w:rsidR="00767FD3" w:rsidRDefault="00767FD3" w:rsidP="001C34ED">
      <w:pPr>
        <w:pStyle w:val="ListParagraph"/>
        <w:numPr>
          <w:ilvl w:val="0"/>
          <w:numId w:val="37"/>
        </w:numPr>
        <w:jc w:val="both"/>
      </w:pPr>
      <w:r>
        <w:t xml:space="preserve">There are significant new eligibility limits on both the price of the vehicle and the income of the buyer; if either figure is too high, </w:t>
      </w:r>
      <w:r w:rsidR="00625986">
        <w:t xml:space="preserve">the </w:t>
      </w:r>
      <w:r>
        <w:t xml:space="preserve"> credit </w:t>
      </w:r>
      <w:r w:rsidR="00625986">
        <w:t>is not allowed</w:t>
      </w:r>
      <w:r>
        <w:t>.</w:t>
      </w:r>
    </w:p>
    <w:p w14:paraId="2137E66E" w14:textId="77777777" w:rsidR="00767FD3" w:rsidRDefault="00767FD3" w:rsidP="001C34ED">
      <w:pPr>
        <w:pStyle w:val="ListParagraph"/>
        <w:numPr>
          <w:ilvl w:val="0"/>
          <w:numId w:val="37"/>
        </w:numPr>
        <w:jc w:val="both"/>
      </w:pPr>
      <w:r>
        <w:t>Used EVs sold by dealers will be eligible for a one-time tax credit.</w:t>
      </w:r>
    </w:p>
    <w:p w14:paraId="788FD64F" w14:textId="1EB46092" w:rsidR="00767FD3" w:rsidRDefault="00767FD3" w:rsidP="001C34ED">
      <w:pPr>
        <w:pStyle w:val="ListParagraph"/>
        <w:numPr>
          <w:ilvl w:val="0"/>
          <w:numId w:val="37"/>
        </w:numPr>
        <w:jc w:val="both"/>
      </w:pPr>
      <w:r>
        <w:t xml:space="preserve">The manufacturer vehicle sales cap </w:t>
      </w:r>
      <w:r w:rsidR="007E2FBD">
        <w:t xml:space="preserve">will be </w:t>
      </w:r>
      <w:r w:rsidR="00AE2D1B">
        <w:t xml:space="preserve"> eliminated. This means that</w:t>
      </w:r>
      <w:r>
        <w:t xml:space="preserve"> brands such as Chevrolet, Tesla and Toyota that reached the previous 200,000-unit</w:t>
      </w:r>
      <w:r w:rsidR="00AE2D1B">
        <w:t xml:space="preserve"> sales</w:t>
      </w:r>
      <w:r>
        <w:t xml:space="preserve"> </w:t>
      </w:r>
      <w:r w:rsidR="00AE2D1B">
        <w:t xml:space="preserve">are eligible for credits </w:t>
      </w:r>
      <w:r>
        <w:t>starting in 2023.</w:t>
      </w:r>
    </w:p>
    <w:p w14:paraId="16778B0C" w14:textId="5FE03451" w:rsidR="00767FD3" w:rsidRDefault="00767FD3" w:rsidP="001C34ED">
      <w:pPr>
        <w:pStyle w:val="ListParagraph"/>
        <w:numPr>
          <w:ilvl w:val="0"/>
          <w:numId w:val="37"/>
        </w:numPr>
        <w:jc w:val="both"/>
      </w:pPr>
      <w:r>
        <w:t xml:space="preserve">Starting in 2024, </w:t>
      </w:r>
      <w:r w:rsidR="00AE2D1B">
        <w:t>a provision</w:t>
      </w:r>
      <w:r>
        <w:t xml:space="preserve"> will allow buyers to take the EV tax credit directly from the dealer at the point of sale rather than having to wait for the next tax season.</w:t>
      </w:r>
    </w:p>
    <w:p w14:paraId="089E69B1" w14:textId="77777777" w:rsidR="00561E0A" w:rsidRDefault="00561E0A" w:rsidP="00561E0A">
      <w:pPr>
        <w:ind w:left="360"/>
      </w:pPr>
    </w:p>
    <w:p w14:paraId="6EB13BDA" w14:textId="74B99C32" w:rsidR="00561E0A" w:rsidRDefault="00561E0A" w:rsidP="001C34ED">
      <w:pPr>
        <w:jc w:val="both"/>
      </w:pPr>
      <w:r>
        <w:t>Effective January 1, 2023, the fo</w:t>
      </w:r>
      <w:r w:rsidR="008F5D4D">
        <w:t>llowing price and income limits apply</w:t>
      </w:r>
      <w:r w:rsidR="00566299">
        <w:t xml:space="preserve">: </w:t>
      </w:r>
    </w:p>
    <w:p w14:paraId="0A6AF50A" w14:textId="77777777" w:rsidR="00566299" w:rsidRPr="00405486" w:rsidRDefault="00566299" w:rsidP="001C34ED">
      <w:pPr>
        <w:jc w:val="both"/>
      </w:pPr>
    </w:p>
    <w:p w14:paraId="7B95BEC7" w14:textId="63D8D40B" w:rsidR="00137879" w:rsidRDefault="00137879" w:rsidP="001C34ED">
      <w:pPr>
        <w:jc w:val="both"/>
      </w:pPr>
      <w:r w:rsidRPr="00137879">
        <w:t>Price limits for new vehicles</w:t>
      </w:r>
      <w:r w:rsidR="008E01E7">
        <w:t>:</w:t>
      </w:r>
    </w:p>
    <w:p w14:paraId="104BA661" w14:textId="77777777" w:rsidR="003F1517" w:rsidRPr="00137879" w:rsidRDefault="003F1517" w:rsidP="001C34ED">
      <w:pPr>
        <w:jc w:val="both"/>
      </w:pPr>
    </w:p>
    <w:p w14:paraId="3AC4C0BE" w14:textId="097AC2D9" w:rsidR="00137879" w:rsidRPr="00137879" w:rsidRDefault="00137879" w:rsidP="001C34ED">
      <w:pPr>
        <w:pStyle w:val="ListParagraph"/>
        <w:numPr>
          <w:ilvl w:val="0"/>
          <w:numId w:val="38"/>
        </w:numPr>
        <w:jc w:val="both"/>
      </w:pPr>
      <w:r w:rsidRPr="00137879">
        <w:t>SUVs, vans</w:t>
      </w:r>
      <w:r w:rsidR="001C34ED">
        <w:t>,</w:t>
      </w:r>
      <w:r w:rsidRPr="00137879">
        <w:t xml:space="preserve"> and pickup trucks</w:t>
      </w:r>
      <w:r w:rsidR="002750AE">
        <w:t xml:space="preserve"> - </w:t>
      </w:r>
      <w:r w:rsidRPr="00137879">
        <w:t>$80,000</w:t>
      </w:r>
    </w:p>
    <w:p w14:paraId="29231AF5" w14:textId="55A6D0C2" w:rsidR="00137879" w:rsidRPr="00137879" w:rsidRDefault="00137879" w:rsidP="001C34ED">
      <w:pPr>
        <w:pStyle w:val="ListParagraph"/>
        <w:numPr>
          <w:ilvl w:val="0"/>
          <w:numId w:val="38"/>
        </w:numPr>
        <w:jc w:val="both"/>
      </w:pPr>
      <w:r w:rsidRPr="00137879">
        <w:t>Any other qualifying vehicle</w:t>
      </w:r>
      <w:r w:rsidR="002750AE">
        <w:t xml:space="preserve"> - </w:t>
      </w:r>
      <w:r w:rsidRPr="00137879">
        <w:t>$55,000</w:t>
      </w:r>
    </w:p>
    <w:p w14:paraId="4E37AF4E" w14:textId="77777777" w:rsidR="002750AE" w:rsidRDefault="002750AE" w:rsidP="001C34ED">
      <w:pPr>
        <w:jc w:val="both"/>
      </w:pPr>
    </w:p>
    <w:p w14:paraId="70E33195" w14:textId="688BABD4" w:rsidR="00137879" w:rsidRDefault="00137879" w:rsidP="001C34ED">
      <w:pPr>
        <w:jc w:val="both"/>
      </w:pPr>
      <w:r w:rsidRPr="00137879">
        <w:t>Income limits for new vehicles</w:t>
      </w:r>
      <w:r w:rsidR="003F1517">
        <w:t>:</w:t>
      </w:r>
    </w:p>
    <w:p w14:paraId="514BCBDE" w14:textId="77777777" w:rsidR="003F1517" w:rsidRPr="00137879" w:rsidRDefault="003F1517" w:rsidP="001C34ED">
      <w:pPr>
        <w:jc w:val="both"/>
      </w:pPr>
    </w:p>
    <w:p w14:paraId="56F217D0" w14:textId="7FBD3338" w:rsidR="00137879" w:rsidRPr="00137879" w:rsidRDefault="007E4F59" w:rsidP="001C34ED">
      <w:pPr>
        <w:pStyle w:val="ListParagraph"/>
        <w:numPr>
          <w:ilvl w:val="0"/>
          <w:numId w:val="39"/>
        </w:numPr>
        <w:jc w:val="both"/>
      </w:pPr>
      <w:r>
        <w:t xml:space="preserve">$300,000 - </w:t>
      </w:r>
      <w:r w:rsidR="00137879" w:rsidRPr="00137879">
        <w:t>Joint returns</w:t>
      </w:r>
      <w:r w:rsidR="002750AE">
        <w:t xml:space="preserve"> or </w:t>
      </w:r>
      <w:r w:rsidR="00137879" w:rsidRPr="00137879">
        <w:t>surviving spouse</w:t>
      </w:r>
    </w:p>
    <w:p w14:paraId="20887BFA" w14:textId="0D49FE26" w:rsidR="00137879" w:rsidRPr="00137879" w:rsidRDefault="00137879" w:rsidP="001C34ED">
      <w:pPr>
        <w:pStyle w:val="ListParagraph"/>
        <w:numPr>
          <w:ilvl w:val="0"/>
          <w:numId w:val="39"/>
        </w:numPr>
        <w:jc w:val="both"/>
      </w:pPr>
      <w:r w:rsidRPr="00137879">
        <w:t>$225,000</w:t>
      </w:r>
      <w:r w:rsidR="007E4F59">
        <w:t xml:space="preserve"> - </w:t>
      </w:r>
      <w:r w:rsidR="007E4F59" w:rsidRPr="007E4F59">
        <w:t xml:space="preserve">Head of household </w:t>
      </w:r>
    </w:p>
    <w:p w14:paraId="114B618A" w14:textId="2DAA514D" w:rsidR="00625120" w:rsidRPr="00137879" w:rsidRDefault="002D2FFA" w:rsidP="001C34ED">
      <w:pPr>
        <w:pStyle w:val="ListParagraph"/>
        <w:numPr>
          <w:ilvl w:val="0"/>
          <w:numId w:val="39"/>
        </w:numPr>
        <w:jc w:val="both"/>
      </w:pPr>
      <w:r>
        <w:t>$150,000 - A</w:t>
      </w:r>
      <w:r w:rsidR="00137879" w:rsidRPr="00137879">
        <w:t>ny other filing status</w:t>
      </w:r>
    </w:p>
    <w:p w14:paraId="78CC9EB4" w14:textId="77777777" w:rsidR="00DF31B5" w:rsidRDefault="00DF31B5" w:rsidP="001C34ED">
      <w:pPr>
        <w:jc w:val="both"/>
      </w:pPr>
    </w:p>
    <w:p w14:paraId="35ECE5E0" w14:textId="28F992A0" w:rsidR="00EA4F54" w:rsidRPr="00137879" w:rsidRDefault="005F7B55" w:rsidP="001C34ED">
      <w:pPr>
        <w:jc w:val="both"/>
      </w:pPr>
      <w:r>
        <w:t>For used vehicles, the credit is 30% of the val</w:t>
      </w:r>
      <w:r w:rsidR="001C34ED">
        <w:t>u</w:t>
      </w:r>
      <w:r>
        <w:t>e, not to exceed $4,000.</w:t>
      </w:r>
    </w:p>
    <w:p w14:paraId="4B5613A7" w14:textId="44658919" w:rsidR="008258D2" w:rsidRDefault="004400A7" w:rsidP="001C34ED">
      <w:pPr>
        <w:jc w:val="both"/>
        <w:rPr>
          <w:bCs/>
          <w:iCs/>
        </w:rPr>
      </w:pPr>
      <w:r>
        <w:rPr>
          <w:b/>
          <w:iCs/>
        </w:rPr>
        <w:lastRenderedPageBreak/>
        <w:t>Energy efficient property</w:t>
      </w:r>
      <w:r w:rsidR="008258D2">
        <w:rPr>
          <w:b/>
          <w:iCs/>
        </w:rPr>
        <w:t xml:space="preserve"> credit</w:t>
      </w:r>
      <w:r>
        <w:rPr>
          <w:b/>
          <w:iCs/>
        </w:rPr>
        <w:t xml:space="preserve">. </w:t>
      </w:r>
      <w:r w:rsidR="00AF3512" w:rsidRPr="00AF3512">
        <w:rPr>
          <w:bCs/>
          <w:iCs/>
        </w:rPr>
        <w:t>Property owners</w:t>
      </w:r>
      <w:r w:rsidR="00AF3512">
        <w:rPr>
          <w:bCs/>
          <w:iCs/>
        </w:rPr>
        <w:t xml:space="preserve"> are eligible for a tax credit for installing energy efficient property </w:t>
      </w:r>
      <w:r w:rsidR="005128BD">
        <w:rPr>
          <w:bCs/>
          <w:iCs/>
        </w:rPr>
        <w:t>to</w:t>
      </w:r>
      <w:r w:rsidR="00AF3512">
        <w:rPr>
          <w:bCs/>
          <w:iCs/>
        </w:rPr>
        <w:t xml:space="preserve"> their homes. </w:t>
      </w:r>
      <w:r w:rsidR="00D31187">
        <w:rPr>
          <w:bCs/>
          <w:iCs/>
        </w:rPr>
        <w:t>Under prior law, there was a lifetime limit on the amount of credit you could claim. The new l</w:t>
      </w:r>
      <w:r w:rsidR="005D05CD">
        <w:rPr>
          <w:bCs/>
          <w:iCs/>
        </w:rPr>
        <w:t xml:space="preserve">aw </w:t>
      </w:r>
      <w:r w:rsidR="00453966">
        <w:rPr>
          <w:bCs/>
          <w:iCs/>
        </w:rPr>
        <w:t>repeals</w:t>
      </w:r>
      <w:r w:rsidR="005D05CD">
        <w:rPr>
          <w:bCs/>
          <w:iCs/>
        </w:rPr>
        <w:t xml:space="preserve"> the lifetime limit and </w:t>
      </w:r>
      <w:r w:rsidR="00450169" w:rsidRPr="00450169">
        <w:rPr>
          <w:bCs/>
          <w:iCs/>
        </w:rPr>
        <w:t>instead limits the allowable credit to</w:t>
      </w:r>
      <w:r w:rsidR="001C34ED">
        <w:rPr>
          <w:bCs/>
          <w:iCs/>
        </w:rPr>
        <w:t xml:space="preserve"> </w:t>
      </w:r>
      <w:r w:rsidR="00450169" w:rsidRPr="00450169">
        <w:rPr>
          <w:bCs/>
          <w:iCs/>
        </w:rPr>
        <w:t>$1,200 per taxpayer per year. In addition, there are annual limits of $600 for credits with respect to residential energy property</w:t>
      </w:r>
      <w:r w:rsidR="005D05CD">
        <w:rPr>
          <w:bCs/>
          <w:iCs/>
        </w:rPr>
        <w:t xml:space="preserve"> </w:t>
      </w:r>
      <w:r w:rsidR="00450169" w:rsidRPr="00450169">
        <w:rPr>
          <w:bCs/>
          <w:iCs/>
        </w:rPr>
        <w:t xml:space="preserve">expenditures, windows, and skylights, and $250 for any exterior door ($500 total for all exterior doors). </w:t>
      </w:r>
      <w:r w:rsidR="00F16E7D">
        <w:rPr>
          <w:bCs/>
          <w:iCs/>
        </w:rPr>
        <w:t>Additionally, a</w:t>
      </w:r>
      <w:r w:rsidR="00450169" w:rsidRPr="00450169">
        <w:rPr>
          <w:bCs/>
          <w:iCs/>
        </w:rPr>
        <w:t xml:space="preserve"> $2,000 annual limit applies with respect to amounts paid or incurred for specified heat pumps, heat pump water</w:t>
      </w:r>
      <w:r w:rsidR="001C34ED">
        <w:rPr>
          <w:bCs/>
          <w:iCs/>
        </w:rPr>
        <w:t xml:space="preserve"> </w:t>
      </w:r>
      <w:r w:rsidR="00450169" w:rsidRPr="00450169">
        <w:rPr>
          <w:bCs/>
          <w:iCs/>
        </w:rPr>
        <w:t>heaters, and biomass stoves and boilers</w:t>
      </w:r>
      <w:r w:rsidR="00CF37E5">
        <w:rPr>
          <w:bCs/>
          <w:iCs/>
        </w:rPr>
        <w:t>.</w:t>
      </w:r>
      <w:r w:rsidR="00CF37E5" w:rsidRPr="00CF37E5">
        <w:t xml:space="preserve"> </w:t>
      </w:r>
      <w:r w:rsidR="00CF37E5" w:rsidRPr="00CF37E5">
        <w:rPr>
          <w:bCs/>
          <w:iCs/>
        </w:rPr>
        <w:t>The new law also allows and increase to the credit of up to $150 for a home energy audit.</w:t>
      </w:r>
      <w:r w:rsidR="00CF37E5">
        <w:rPr>
          <w:bCs/>
          <w:iCs/>
        </w:rPr>
        <w:t xml:space="preserve"> </w:t>
      </w:r>
    </w:p>
    <w:p w14:paraId="3ED37E36" w14:textId="77777777" w:rsidR="00DF29B6" w:rsidRDefault="00DF29B6" w:rsidP="001C34ED">
      <w:pPr>
        <w:jc w:val="both"/>
        <w:rPr>
          <w:bCs/>
          <w:iCs/>
        </w:rPr>
      </w:pPr>
    </w:p>
    <w:p w14:paraId="07DBB1F2" w14:textId="345D18F9" w:rsidR="00DF29B6" w:rsidRDefault="00DF29B6" w:rsidP="001C34ED">
      <w:pPr>
        <w:jc w:val="both"/>
        <w:rPr>
          <w:bCs/>
          <w:iCs/>
        </w:rPr>
      </w:pPr>
      <w:r>
        <w:rPr>
          <w:bCs/>
          <w:iCs/>
        </w:rPr>
        <w:t>The new law also allows taxpayers to claim the credit</w:t>
      </w:r>
      <w:r w:rsidR="00DB6F35">
        <w:rPr>
          <w:bCs/>
          <w:iCs/>
        </w:rPr>
        <w:t xml:space="preserve"> for expenses incurred on energy efficient property installed on any home they own and is no longer limited to their principal residence. </w:t>
      </w:r>
    </w:p>
    <w:p w14:paraId="0CEF0097" w14:textId="77777777" w:rsidR="008258D2" w:rsidRDefault="008258D2" w:rsidP="001C34ED">
      <w:pPr>
        <w:jc w:val="both"/>
        <w:rPr>
          <w:bCs/>
          <w:iCs/>
        </w:rPr>
      </w:pPr>
    </w:p>
    <w:p w14:paraId="2D141A88" w14:textId="3E69AB97" w:rsidR="003A3A86" w:rsidRDefault="00B63A96" w:rsidP="001C34ED">
      <w:pPr>
        <w:jc w:val="both"/>
        <w:rPr>
          <w:bCs/>
          <w:iCs/>
        </w:rPr>
      </w:pPr>
      <w:r w:rsidRPr="00862FD9">
        <w:rPr>
          <w:b/>
          <w:iCs/>
        </w:rPr>
        <w:t xml:space="preserve">Residential </w:t>
      </w:r>
      <w:r w:rsidR="00862FD9" w:rsidRPr="00862FD9">
        <w:rPr>
          <w:b/>
          <w:iCs/>
        </w:rPr>
        <w:t>c</w:t>
      </w:r>
      <w:r w:rsidRPr="00862FD9">
        <w:rPr>
          <w:b/>
          <w:iCs/>
        </w:rPr>
        <w:t xml:space="preserve">lean </w:t>
      </w:r>
      <w:r w:rsidR="00862FD9" w:rsidRPr="00862FD9">
        <w:rPr>
          <w:b/>
          <w:iCs/>
        </w:rPr>
        <w:t>e</w:t>
      </w:r>
      <w:r w:rsidRPr="00862FD9">
        <w:rPr>
          <w:b/>
          <w:iCs/>
        </w:rPr>
        <w:t xml:space="preserve">nergy </w:t>
      </w:r>
      <w:r w:rsidR="00862FD9" w:rsidRPr="00862FD9">
        <w:rPr>
          <w:b/>
          <w:iCs/>
        </w:rPr>
        <w:t>c</w:t>
      </w:r>
      <w:r w:rsidRPr="00862FD9">
        <w:rPr>
          <w:b/>
          <w:iCs/>
        </w:rPr>
        <w:t>redit</w:t>
      </w:r>
      <w:r w:rsidR="00862FD9">
        <w:rPr>
          <w:bCs/>
          <w:iCs/>
        </w:rPr>
        <w:t>.</w:t>
      </w:r>
      <w:r w:rsidR="002B2226">
        <w:rPr>
          <w:bCs/>
          <w:iCs/>
        </w:rPr>
        <w:t xml:space="preserve"> This credit was formerly referred to as the</w:t>
      </w:r>
      <w:r w:rsidR="007C6260" w:rsidRPr="007C6260">
        <w:t xml:space="preserve"> </w:t>
      </w:r>
      <w:r w:rsidR="007C6260" w:rsidRPr="007C6260">
        <w:rPr>
          <w:bCs/>
          <w:iCs/>
        </w:rPr>
        <w:t>residential energy efficient property (REEP) credit</w:t>
      </w:r>
      <w:r w:rsidR="00321AB9">
        <w:rPr>
          <w:bCs/>
          <w:iCs/>
        </w:rPr>
        <w:t xml:space="preserve"> which was equal to </w:t>
      </w:r>
      <w:r w:rsidR="008E13A1">
        <w:rPr>
          <w:bCs/>
          <w:iCs/>
        </w:rPr>
        <w:t xml:space="preserve">26% of property place installed in residential homes </w:t>
      </w:r>
      <w:r w:rsidR="000669E1">
        <w:rPr>
          <w:bCs/>
          <w:iCs/>
        </w:rPr>
        <w:t xml:space="preserve">in years </w:t>
      </w:r>
      <w:r w:rsidR="008E13A1">
        <w:rPr>
          <w:bCs/>
          <w:iCs/>
        </w:rPr>
        <w:t>before 2024</w:t>
      </w:r>
      <w:r w:rsidR="00453213">
        <w:rPr>
          <w:bCs/>
          <w:iCs/>
        </w:rPr>
        <w:t>.</w:t>
      </w:r>
      <w:r w:rsidR="00321AB9">
        <w:rPr>
          <w:bCs/>
          <w:iCs/>
        </w:rPr>
        <w:t xml:space="preserve"> </w:t>
      </w:r>
    </w:p>
    <w:p w14:paraId="027E4E42" w14:textId="77777777" w:rsidR="003A3A86" w:rsidRDefault="003A3A86" w:rsidP="001C34ED">
      <w:pPr>
        <w:jc w:val="both"/>
        <w:rPr>
          <w:bCs/>
          <w:iCs/>
        </w:rPr>
      </w:pPr>
    </w:p>
    <w:p w14:paraId="241C562B" w14:textId="1F20AC27" w:rsidR="00ED3B2B" w:rsidRPr="00AF3512" w:rsidRDefault="003A3A86" w:rsidP="001C34ED">
      <w:pPr>
        <w:jc w:val="both"/>
        <w:rPr>
          <w:bCs/>
          <w:iCs/>
        </w:rPr>
      </w:pPr>
      <w:r>
        <w:rPr>
          <w:bCs/>
          <w:iCs/>
        </w:rPr>
        <w:t>The new law increases the c</w:t>
      </w:r>
      <w:r w:rsidR="00327DE2">
        <w:rPr>
          <w:bCs/>
          <w:iCs/>
        </w:rPr>
        <w:t xml:space="preserve">redit to 30% </w:t>
      </w:r>
      <w:r>
        <w:rPr>
          <w:bCs/>
          <w:iCs/>
        </w:rPr>
        <w:t xml:space="preserve">for </w:t>
      </w:r>
      <w:r w:rsidR="00926CA9" w:rsidRPr="00926CA9">
        <w:rPr>
          <w:bCs/>
          <w:iCs/>
        </w:rPr>
        <w:t>property placed in</w:t>
      </w:r>
      <w:r w:rsidR="00926CA9">
        <w:rPr>
          <w:bCs/>
          <w:iCs/>
        </w:rPr>
        <w:t xml:space="preserve"> </w:t>
      </w:r>
      <w:r w:rsidR="00926CA9" w:rsidRPr="00926CA9">
        <w:rPr>
          <w:bCs/>
          <w:iCs/>
        </w:rPr>
        <w:t>service after December 31, 2021, and before January 1, 2033, 26% for property placed in service after December 31, 2032, and</w:t>
      </w:r>
      <w:r w:rsidR="00926CA9">
        <w:rPr>
          <w:bCs/>
          <w:iCs/>
        </w:rPr>
        <w:t xml:space="preserve"> </w:t>
      </w:r>
      <w:r w:rsidR="00926CA9" w:rsidRPr="00926CA9">
        <w:rPr>
          <w:bCs/>
          <w:iCs/>
        </w:rPr>
        <w:t>before January 1, 2034, and 22% for property placed in service after December 31, 2033, and before January 1, 2035</w:t>
      </w:r>
      <w:r w:rsidR="009D7481">
        <w:rPr>
          <w:bCs/>
          <w:iCs/>
        </w:rPr>
        <w:t xml:space="preserve">. Qualified expenditures include the </w:t>
      </w:r>
      <w:r w:rsidR="00327DE2">
        <w:rPr>
          <w:bCs/>
          <w:iCs/>
        </w:rPr>
        <w:t xml:space="preserve">costs incurred for installing qualified solar property for </w:t>
      </w:r>
      <w:r w:rsidR="00655D77">
        <w:rPr>
          <w:bCs/>
          <w:iCs/>
        </w:rPr>
        <w:t>generating electricity and hot water, geothermal heat pumps</w:t>
      </w:r>
      <w:r w:rsidR="00FE59CF">
        <w:rPr>
          <w:bCs/>
          <w:iCs/>
        </w:rPr>
        <w:t xml:space="preserve">, </w:t>
      </w:r>
      <w:r w:rsidR="00814EDA">
        <w:rPr>
          <w:bCs/>
          <w:iCs/>
        </w:rPr>
        <w:t xml:space="preserve">fuel cell property </w:t>
      </w:r>
      <w:r w:rsidR="00065434">
        <w:rPr>
          <w:bCs/>
          <w:iCs/>
        </w:rPr>
        <w:t xml:space="preserve">biomass fuel </w:t>
      </w:r>
      <w:r w:rsidR="00453966">
        <w:rPr>
          <w:bCs/>
          <w:iCs/>
        </w:rPr>
        <w:t xml:space="preserve">property </w:t>
      </w:r>
      <w:r w:rsidR="00862FD9">
        <w:rPr>
          <w:bCs/>
          <w:iCs/>
        </w:rPr>
        <w:t xml:space="preserve">and </w:t>
      </w:r>
      <w:r w:rsidR="00453966">
        <w:rPr>
          <w:bCs/>
          <w:iCs/>
        </w:rPr>
        <w:t xml:space="preserve">small </w:t>
      </w:r>
      <w:r w:rsidR="00FE59CF">
        <w:rPr>
          <w:bCs/>
          <w:iCs/>
        </w:rPr>
        <w:t>wind energy</w:t>
      </w:r>
      <w:r w:rsidR="00862FD9">
        <w:rPr>
          <w:bCs/>
          <w:iCs/>
        </w:rPr>
        <w:t>.</w:t>
      </w:r>
      <w:r w:rsidR="00D45DA8">
        <w:rPr>
          <w:bCs/>
          <w:iCs/>
        </w:rPr>
        <w:t xml:space="preserve"> </w:t>
      </w:r>
    </w:p>
    <w:p w14:paraId="4973454B" w14:textId="77777777" w:rsidR="00AF3512" w:rsidRPr="00AF3512" w:rsidRDefault="00AF3512" w:rsidP="001C34ED">
      <w:pPr>
        <w:jc w:val="both"/>
        <w:rPr>
          <w:bCs/>
          <w:iCs/>
        </w:rPr>
      </w:pPr>
    </w:p>
    <w:p w14:paraId="6A6CA4C7" w14:textId="11AC8FFB" w:rsidR="003F1237" w:rsidRPr="004765AE" w:rsidRDefault="003F1237" w:rsidP="001C34ED">
      <w:pPr>
        <w:jc w:val="center"/>
        <w:rPr>
          <w:bCs/>
          <w:iCs/>
          <w:sz w:val="36"/>
          <w:szCs w:val="36"/>
        </w:rPr>
      </w:pPr>
      <w:r w:rsidRPr="004765AE">
        <w:rPr>
          <w:b/>
          <w:i/>
          <w:sz w:val="36"/>
          <w:szCs w:val="36"/>
        </w:rPr>
        <w:t>Additional Information</w:t>
      </w:r>
    </w:p>
    <w:p w14:paraId="4EE8B267" w14:textId="5C9B0E4A" w:rsidR="00571ADB" w:rsidRPr="008A5509" w:rsidRDefault="00571ADB" w:rsidP="001C34ED">
      <w:pPr>
        <w:jc w:val="both"/>
        <w:rPr>
          <w:b/>
          <w:iCs/>
        </w:rPr>
      </w:pPr>
    </w:p>
    <w:p w14:paraId="25F2A650" w14:textId="63BABC1C" w:rsidR="00D56510" w:rsidRDefault="00073B28" w:rsidP="001C34ED">
      <w:pPr>
        <w:jc w:val="both"/>
      </w:pPr>
      <w:r w:rsidRPr="00FF45F0">
        <w:rPr>
          <w:b/>
          <w:bCs/>
        </w:rPr>
        <w:t xml:space="preserve">Required </w:t>
      </w:r>
      <w:r w:rsidR="00D56510" w:rsidRPr="00FF45F0">
        <w:rPr>
          <w:b/>
          <w:bCs/>
        </w:rPr>
        <w:t>distributions</w:t>
      </w:r>
      <w:r w:rsidR="00471E3C" w:rsidRPr="00FF45F0">
        <w:rPr>
          <w:b/>
          <w:bCs/>
        </w:rPr>
        <w:t xml:space="preserve"> to plan beneficiaries</w:t>
      </w:r>
      <w:r w:rsidR="00D56510" w:rsidRPr="00FF45F0">
        <w:rPr>
          <w:b/>
          <w:bCs/>
        </w:rPr>
        <w:t xml:space="preserve">. </w:t>
      </w:r>
      <w:r w:rsidR="00D56510" w:rsidRPr="00FF45F0">
        <w:t>In 2020,</w:t>
      </w:r>
      <w:r w:rsidR="00D56510" w:rsidRPr="00FF45F0">
        <w:rPr>
          <w:b/>
          <w:bCs/>
        </w:rPr>
        <w:t xml:space="preserve"> </w:t>
      </w:r>
      <w:r w:rsidR="00D56510" w:rsidRPr="00FF45F0">
        <w:t xml:space="preserve">taxpayers who reached age 72 </w:t>
      </w:r>
      <w:r w:rsidR="00B56D3F">
        <w:t>(</w:t>
      </w:r>
      <w:r w:rsidR="00D56510" w:rsidRPr="00FF45F0">
        <w:t xml:space="preserve">and </w:t>
      </w:r>
      <w:r w:rsidR="00B56D3F">
        <w:t xml:space="preserve">taxpayers </w:t>
      </w:r>
      <w:r w:rsidR="00D56510" w:rsidRPr="00FF45F0">
        <w:t xml:space="preserve">who attained age 70½ after </w:t>
      </w:r>
      <w:r w:rsidR="001C34ED">
        <w:t>Dec.</w:t>
      </w:r>
      <w:r w:rsidR="00D56510" w:rsidRPr="00FF45F0">
        <w:t xml:space="preserve"> 31, 2019</w:t>
      </w:r>
      <w:r w:rsidR="00B56D3F">
        <w:t>)</w:t>
      </w:r>
      <w:r w:rsidR="00D56510" w:rsidRPr="00FF45F0">
        <w:t>,  were required to begin annual distributions from their IR</w:t>
      </w:r>
      <w:r w:rsidR="00471E3C" w:rsidRPr="00FF45F0">
        <w:t>A</w:t>
      </w:r>
      <w:r w:rsidR="00D56510" w:rsidRPr="00FF45F0">
        <w:t xml:space="preserve">. </w:t>
      </w:r>
      <w:r w:rsidR="00612F28">
        <w:t xml:space="preserve">If the IRA or plan </w:t>
      </w:r>
      <w:r w:rsidR="00E32E17">
        <w:t>owner died either before or after taking the required minimu</w:t>
      </w:r>
      <w:r w:rsidR="00B81E41">
        <w:t xml:space="preserve">m distributions, there are specific rules for the designated beneficiaries. </w:t>
      </w:r>
    </w:p>
    <w:p w14:paraId="408A3F7A" w14:textId="77777777" w:rsidR="0059778E" w:rsidRDefault="0059778E" w:rsidP="001C34ED">
      <w:pPr>
        <w:jc w:val="both"/>
      </w:pPr>
    </w:p>
    <w:p w14:paraId="779BD28E" w14:textId="14267334" w:rsidR="00B81E41" w:rsidRDefault="0059778E" w:rsidP="001C34ED">
      <w:pPr>
        <w:jc w:val="both"/>
      </w:pPr>
      <w:r w:rsidRPr="0059778E">
        <w:t xml:space="preserve">Before </w:t>
      </w:r>
      <w:r w:rsidR="000A7EF0">
        <w:t xml:space="preserve">the SECURE Act changed </w:t>
      </w:r>
      <w:r w:rsidRPr="0059778E">
        <w:t xml:space="preserve">the beneficiary IRA rules, </w:t>
      </w:r>
      <w:r w:rsidR="000A7EF0">
        <w:t xml:space="preserve">individuals </w:t>
      </w:r>
      <w:r w:rsidRPr="0059778E">
        <w:t xml:space="preserve">who inherited an </w:t>
      </w:r>
      <w:r w:rsidR="000A7EF0">
        <w:t>IRA</w:t>
      </w:r>
      <w:r w:rsidRPr="0059778E">
        <w:t xml:space="preserve"> were required to make a withdrawal from the account each year. The amount of those withdrawals was based on the </w:t>
      </w:r>
      <w:r w:rsidR="009D48C4">
        <w:t xml:space="preserve">beneficiary’s </w:t>
      </w:r>
      <w:r w:rsidRPr="0059778E">
        <w:t xml:space="preserve">age, and </w:t>
      </w:r>
      <w:r w:rsidR="009D48C4">
        <w:t xml:space="preserve">distributions </w:t>
      </w:r>
      <w:r w:rsidRPr="0059778E">
        <w:t xml:space="preserve">could stretch </w:t>
      </w:r>
      <w:r w:rsidR="009D48C4">
        <w:t xml:space="preserve">out </w:t>
      </w:r>
      <w:r w:rsidRPr="0059778E">
        <w:t xml:space="preserve">over their own lifetime. </w:t>
      </w:r>
      <w:r w:rsidR="00AF4A8A">
        <w:t>This allowed</w:t>
      </w:r>
      <w:r w:rsidRPr="0059778E">
        <w:t xml:space="preserve"> the funds </w:t>
      </w:r>
      <w:r w:rsidR="00AF4A8A">
        <w:t>to</w:t>
      </w:r>
      <w:r w:rsidRPr="0059778E">
        <w:t xml:space="preserve"> benefit from tax-deferral for decades, depending on the </w:t>
      </w:r>
      <w:r w:rsidR="00AF4A8A">
        <w:t xml:space="preserve">age of the </w:t>
      </w:r>
      <w:r w:rsidRPr="0059778E">
        <w:t xml:space="preserve">beneficiary. </w:t>
      </w:r>
    </w:p>
    <w:p w14:paraId="28427553" w14:textId="77777777" w:rsidR="007630B1" w:rsidRDefault="007630B1" w:rsidP="001C34ED">
      <w:pPr>
        <w:jc w:val="both"/>
      </w:pPr>
    </w:p>
    <w:p w14:paraId="2A433568" w14:textId="44F4DC37" w:rsidR="007630B1" w:rsidRDefault="007630B1" w:rsidP="001C34ED">
      <w:pPr>
        <w:jc w:val="both"/>
      </w:pPr>
      <w:r>
        <w:t>New rules</w:t>
      </w:r>
      <w:r w:rsidR="00FC0B89">
        <w:t xml:space="preserve"> that </w:t>
      </w:r>
      <w:r w:rsidR="00FC0B89" w:rsidRPr="00FC0B89">
        <w:t>apply to retirement accounts inherited after Dec</w:t>
      </w:r>
      <w:r w:rsidR="00FC0B89">
        <w:t>e</w:t>
      </w:r>
      <w:r w:rsidR="00274E92">
        <w:t>mber</w:t>
      </w:r>
      <w:r w:rsidR="00FC0B89" w:rsidRPr="00FC0B89">
        <w:t xml:space="preserve"> 31, 2019</w:t>
      </w:r>
      <w:r w:rsidR="00274E92">
        <w:t xml:space="preserve">, will require </w:t>
      </w:r>
      <w:r w:rsidR="00F67967">
        <w:t xml:space="preserve">most </w:t>
      </w:r>
      <w:r w:rsidR="00274E92">
        <w:t xml:space="preserve">beneficiaries of </w:t>
      </w:r>
      <w:r w:rsidR="002668B1">
        <w:t xml:space="preserve">IRAs </w:t>
      </w:r>
      <w:r w:rsidR="00660FE6">
        <w:t xml:space="preserve">and other retirement accounts to withdraw the entire balance in the account within 10 years. </w:t>
      </w:r>
    </w:p>
    <w:p w14:paraId="4CB7856E" w14:textId="77777777" w:rsidR="005D39E4" w:rsidRDefault="005D39E4" w:rsidP="001C34ED">
      <w:pPr>
        <w:jc w:val="both"/>
      </w:pPr>
    </w:p>
    <w:p w14:paraId="2EFDBEF5" w14:textId="55B61B29" w:rsidR="00B81E41" w:rsidRPr="00FF45F0" w:rsidRDefault="005D39E4" w:rsidP="001C34ED">
      <w:pPr>
        <w:jc w:val="both"/>
      </w:pPr>
      <w:r>
        <w:t xml:space="preserve">Special rules apply to </w:t>
      </w:r>
      <w:r w:rsidR="00DE09D6">
        <w:t xml:space="preserve">beneficiaries who are </w:t>
      </w:r>
      <w:r>
        <w:t>spouses</w:t>
      </w:r>
      <w:r w:rsidR="00DE09D6">
        <w:t>, minor children, disabled</w:t>
      </w:r>
      <w:r w:rsidR="009551D7">
        <w:t xml:space="preserve"> individuals</w:t>
      </w:r>
      <w:r w:rsidR="001C34ED">
        <w:t>,</w:t>
      </w:r>
      <w:r w:rsidR="009551D7">
        <w:t xml:space="preserve"> or </w:t>
      </w:r>
      <w:r w:rsidR="00301F21">
        <w:t>beneficiaries</w:t>
      </w:r>
      <w:r w:rsidR="00DE09D6">
        <w:t xml:space="preserve"> </w:t>
      </w:r>
      <w:r w:rsidR="00301F21" w:rsidRPr="00301F21">
        <w:t xml:space="preserve">who </w:t>
      </w:r>
      <w:r w:rsidR="00301F21">
        <w:t>are</w:t>
      </w:r>
      <w:r w:rsidR="00301F21" w:rsidRPr="00301F21">
        <w:t xml:space="preserve"> less than 10 years younger than the deceased account owner</w:t>
      </w:r>
      <w:r w:rsidR="00301F21">
        <w:t>.</w:t>
      </w:r>
    </w:p>
    <w:p w14:paraId="68E32460" w14:textId="2B599C5A" w:rsidR="00D56510" w:rsidRDefault="00D56510" w:rsidP="001C34ED">
      <w:pPr>
        <w:jc w:val="both"/>
      </w:pPr>
    </w:p>
    <w:p w14:paraId="27CFE696" w14:textId="266F298B" w:rsidR="00BA7877" w:rsidRPr="00BA7877" w:rsidRDefault="00BA7877" w:rsidP="001C34ED">
      <w:pPr>
        <w:jc w:val="both"/>
        <w:rPr>
          <w:b/>
          <w:bCs/>
        </w:rPr>
      </w:pPr>
      <w:r w:rsidRPr="00BA7877">
        <w:rPr>
          <w:b/>
          <w:bCs/>
        </w:rPr>
        <w:t>PENDING LEGISLATION</w:t>
      </w:r>
    </w:p>
    <w:p w14:paraId="5CE6F7A5" w14:textId="13156A38" w:rsidR="00FB62F7" w:rsidRPr="00FF45F0" w:rsidRDefault="00E767B2" w:rsidP="001C34ED">
      <w:pPr>
        <w:jc w:val="both"/>
        <w:rPr>
          <w:b/>
          <w:bCs/>
        </w:rPr>
      </w:pPr>
      <w:r w:rsidRPr="00FF45F0">
        <w:rPr>
          <w:b/>
          <w:bCs/>
        </w:rPr>
        <w:t xml:space="preserve">Student loan </w:t>
      </w:r>
      <w:r w:rsidR="009822C9" w:rsidRPr="00FF45F0">
        <w:rPr>
          <w:b/>
          <w:bCs/>
        </w:rPr>
        <w:t>debt</w:t>
      </w:r>
      <w:r w:rsidR="001C34ED">
        <w:rPr>
          <w:b/>
          <w:bCs/>
        </w:rPr>
        <w:t xml:space="preserve"> forgiveness</w:t>
      </w:r>
      <w:r w:rsidR="009822C9" w:rsidRPr="00FF45F0">
        <w:rPr>
          <w:b/>
          <w:bCs/>
        </w:rPr>
        <w:t>.</w:t>
      </w:r>
      <w:r w:rsidR="009822C9" w:rsidRPr="00FF45F0">
        <w:t xml:space="preserve"> </w:t>
      </w:r>
      <w:r w:rsidR="00F47563" w:rsidRPr="00FF45F0">
        <w:t xml:space="preserve">In addition to forgiving up to </w:t>
      </w:r>
      <w:r w:rsidR="007B2E1D" w:rsidRPr="00FF45F0">
        <w:t xml:space="preserve">$10,000 per borrower (or $20,000 if you received a Pell Grant) for those </w:t>
      </w:r>
      <w:r w:rsidR="001C34ED">
        <w:t>with an adjusted gross income (AGI)</w:t>
      </w:r>
      <w:r w:rsidR="007B2E1D" w:rsidRPr="00FF45F0">
        <w:t xml:space="preserve"> under $125,000 in 2020 or 2021 (or $250,000 for married borrowers)</w:t>
      </w:r>
      <w:r w:rsidR="00F47563" w:rsidRPr="00FF45F0">
        <w:t xml:space="preserve">, President Joe Biden announced he was </w:t>
      </w:r>
      <w:r w:rsidR="001C34ED">
        <w:t xml:space="preserve">also </w:t>
      </w:r>
      <w:r w:rsidR="00F47563" w:rsidRPr="00FF45F0">
        <w:t xml:space="preserve">extending the current moratorium on student loan payments and interest until </w:t>
      </w:r>
      <w:r w:rsidR="001C34ED">
        <w:t>January</w:t>
      </w:r>
      <w:r w:rsidR="00F47563" w:rsidRPr="00FF45F0">
        <w:t xml:space="preserve"> 1, 2023</w:t>
      </w:r>
      <w:r w:rsidR="00F47563" w:rsidRPr="00FF45F0">
        <w:rPr>
          <w:b/>
          <w:bCs/>
        </w:rPr>
        <w:t>.</w:t>
      </w:r>
      <w:r w:rsidR="00F23DCA" w:rsidRPr="00FF45F0">
        <w:rPr>
          <w:b/>
          <w:bCs/>
        </w:rPr>
        <w:t xml:space="preserve"> </w:t>
      </w:r>
    </w:p>
    <w:p w14:paraId="4D9D7A90" w14:textId="77777777" w:rsidR="00FB62F7" w:rsidRPr="00FF45F0" w:rsidRDefault="00FB62F7" w:rsidP="001C34ED">
      <w:pPr>
        <w:jc w:val="both"/>
        <w:rPr>
          <w:b/>
          <w:bCs/>
        </w:rPr>
      </w:pPr>
    </w:p>
    <w:p w14:paraId="0801F32D" w14:textId="23B764A9" w:rsidR="00E767B2" w:rsidRPr="00FF45F0" w:rsidRDefault="00E767B2" w:rsidP="001C34ED">
      <w:pPr>
        <w:jc w:val="both"/>
      </w:pPr>
      <w:r w:rsidRPr="00FF45F0">
        <w:t>The moratorium on student loan payments and interest includes all federally held student loans, regardless of what company is servicing the loan. Eligible student loans include:</w:t>
      </w:r>
    </w:p>
    <w:p w14:paraId="4DDAAF02" w14:textId="77777777" w:rsidR="00E767B2" w:rsidRPr="00FF45F0" w:rsidRDefault="00E767B2" w:rsidP="001C34ED">
      <w:pPr>
        <w:jc w:val="both"/>
      </w:pPr>
    </w:p>
    <w:p w14:paraId="5978B944" w14:textId="77777777" w:rsidR="00E767B2" w:rsidRPr="00FF45F0" w:rsidRDefault="00E767B2" w:rsidP="001C34ED">
      <w:pPr>
        <w:pStyle w:val="ListParagraph"/>
        <w:numPr>
          <w:ilvl w:val="0"/>
          <w:numId w:val="35"/>
        </w:numPr>
      </w:pPr>
      <w:r w:rsidRPr="00FF45F0">
        <w:t>Direct federal student loans</w:t>
      </w:r>
    </w:p>
    <w:p w14:paraId="076841DE" w14:textId="77777777" w:rsidR="00E767B2" w:rsidRPr="00FF45F0" w:rsidRDefault="00E767B2" w:rsidP="001C34ED">
      <w:pPr>
        <w:pStyle w:val="ListParagraph"/>
        <w:numPr>
          <w:ilvl w:val="0"/>
          <w:numId w:val="35"/>
        </w:numPr>
      </w:pPr>
      <w:r w:rsidRPr="00FF45F0">
        <w:t>Federal Family Education Loan program loans held by the Department of Education, aka FFEL</w:t>
      </w:r>
    </w:p>
    <w:p w14:paraId="45B3A529" w14:textId="77777777" w:rsidR="00E767B2" w:rsidRPr="00FF45F0" w:rsidRDefault="00E767B2" w:rsidP="001C34ED">
      <w:pPr>
        <w:pStyle w:val="ListParagraph"/>
        <w:numPr>
          <w:ilvl w:val="0"/>
          <w:numId w:val="35"/>
        </w:numPr>
      </w:pPr>
      <w:r w:rsidRPr="00FF45F0">
        <w:t>Federal Perkins Loans held by the Department of Education</w:t>
      </w:r>
    </w:p>
    <w:p w14:paraId="17D3E2A0" w14:textId="77777777" w:rsidR="00E767B2" w:rsidRPr="00FF45F0" w:rsidRDefault="00E767B2" w:rsidP="001C34ED">
      <w:pPr>
        <w:pStyle w:val="ListParagraph"/>
        <w:numPr>
          <w:ilvl w:val="0"/>
          <w:numId w:val="35"/>
        </w:numPr>
      </w:pPr>
      <w:r w:rsidRPr="00FF45F0">
        <w:lastRenderedPageBreak/>
        <w:t>Defaulted FFEL loans not held by the Department of Education</w:t>
      </w:r>
    </w:p>
    <w:p w14:paraId="69D72C02" w14:textId="36A9C79A" w:rsidR="00D56510" w:rsidRPr="00FF45F0" w:rsidRDefault="00E767B2" w:rsidP="001C34ED">
      <w:pPr>
        <w:pStyle w:val="ListParagraph"/>
        <w:numPr>
          <w:ilvl w:val="0"/>
          <w:numId w:val="35"/>
        </w:numPr>
        <w:jc w:val="both"/>
      </w:pPr>
      <w:r w:rsidRPr="00FF45F0">
        <w:t>Defaulted Health Education Assistance loans, aka HEA</w:t>
      </w:r>
    </w:p>
    <w:p w14:paraId="503180B7" w14:textId="77777777" w:rsidR="00FB62F7" w:rsidRPr="00FF45F0" w:rsidRDefault="00FB62F7" w:rsidP="001C34ED">
      <w:pPr>
        <w:jc w:val="both"/>
      </w:pPr>
    </w:p>
    <w:p w14:paraId="6864E906" w14:textId="2D73D7FB" w:rsidR="002F4D05" w:rsidRPr="00FF45F0" w:rsidRDefault="002F4D05" w:rsidP="001C34ED">
      <w:pPr>
        <w:jc w:val="both"/>
      </w:pPr>
      <w:r w:rsidRPr="00FF45F0">
        <w:t>Student loans that are not eligible include:</w:t>
      </w:r>
    </w:p>
    <w:p w14:paraId="024C71E9" w14:textId="77777777" w:rsidR="002F4D05" w:rsidRPr="00FF45F0" w:rsidRDefault="002F4D05" w:rsidP="001C34ED">
      <w:pPr>
        <w:jc w:val="both"/>
      </w:pPr>
    </w:p>
    <w:p w14:paraId="49BAAC3E" w14:textId="77777777" w:rsidR="002F4D05" w:rsidRPr="00FF45F0" w:rsidRDefault="002F4D05" w:rsidP="001C34ED">
      <w:pPr>
        <w:pStyle w:val="ListParagraph"/>
        <w:numPr>
          <w:ilvl w:val="0"/>
          <w:numId w:val="36"/>
        </w:numPr>
        <w:jc w:val="both"/>
      </w:pPr>
      <w:r w:rsidRPr="00FF45F0">
        <w:t>Nondefaulted FFEL loans not held by the Department of Education</w:t>
      </w:r>
    </w:p>
    <w:p w14:paraId="196EB400" w14:textId="77777777" w:rsidR="002F4D05" w:rsidRPr="00FF45F0" w:rsidRDefault="002F4D05" w:rsidP="001C34ED">
      <w:pPr>
        <w:pStyle w:val="ListParagraph"/>
        <w:numPr>
          <w:ilvl w:val="0"/>
          <w:numId w:val="36"/>
        </w:numPr>
        <w:jc w:val="both"/>
      </w:pPr>
      <w:r w:rsidRPr="00FF45F0">
        <w:t>Federal Perkins Loans not held by the Department of Education</w:t>
      </w:r>
    </w:p>
    <w:p w14:paraId="46FC1694" w14:textId="77777777" w:rsidR="002F4D05" w:rsidRPr="00FF45F0" w:rsidRDefault="002F4D05" w:rsidP="001C34ED">
      <w:pPr>
        <w:pStyle w:val="ListParagraph"/>
        <w:numPr>
          <w:ilvl w:val="0"/>
          <w:numId w:val="36"/>
        </w:numPr>
        <w:jc w:val="both"/>
      </w:pPr>
      <w:r w:rsidRPr="00FF45F0">
        <w:t>Nondefaulted HEAL loans</w:t>
      </w:r>
    </w:p>
    <w:p w14:paraId="2F9E3C73" w14:textId="4FFAF68B" w:rsidR="00D56510" w:rsidRPr="00FF45F0" w:rsidRDefault="002F4D05" w:rsidP="001C34ED">
      <w:pPr>
        <w:pStyle w:val="ListParagraph"/>
        <w:numPr>
          <w:ilvl w:val="0"/>
          <w:numId w:val="36"/>
        </w:numPr>
        <w:jc w:val="both"/>
      </w:pPr>
      <w:r w:rsidRPr="00FF45F0">
        <w:t>Private student loans</w:t>
      </w:r>
    </w:p>
    <w:p w14:paraId="409A6A5A" w14:textId="77777777" w:rsidR="00F23DCA" w:rsidRDefault="00F23DCA" w:rsidP="001C34ED">
      <w:pPr>
        <w:jc w:val="both"/>
        <w:rPr>
          <w:b/>
          <w:iCs/>
          <w:color w:val="FF0000"/>
        </w:rPr>
      </w:pPr>
    </w:p>
    <w:p w14:paraId="4E3C7DAD" w14:textId="72E5A109" w:rsidR="008D0577" w:rsidRDefault="0030524B" w:rsidP="001C34ED">
      <w:pPr>
        <w:jc w:val="both"/>
        <w:rPr>
          <w:bCs/>
          <w:iCs/>
        </w:rPr>
      </w:pPr>
      <w:r w:rsidRPr="0030524B">
        <w:rPr>
          <w:b/>
          <w:iCs/>
        </w:rPr>
        <w:t>Educator expenses</w:t>
      </w:r>
      <w:r>
        <w:rPr>
          <w:bCs/>
          <w:iCs/>
        </w:rPr>
        <w:t xml:space="preserve">. </w:t>
      </w:r>
      <w:r w:rsidR="008B6EF1">
        <w:rPr>
          <w:bCs/>
          <w:iCs/>
        </w:rPr>
        <w:t>E</w:t>
      </w:r>
      <w:r w:rsidR="006E7312" w:rsidRPr="006E7312">
        <w:rPr>
          <w:bCs/>
          <w:iCs/>
        </w:rPr>
        <w:t xml:space="preserve">ligible educators </w:t>
      </w:r>
      <w:r w:rsidR="00E626DF">
        <w:rPr>
          <w:bCs/>
          <w:iCs/>
        </w:rPr>
        <w:t>can</w:t>
      </w:r>
      <w:r w:rsidR="008B6EF1">
        <w:rPr>
          <w:bCs/>
          <w:iCs/>
        </w:rPr>
        <w:t xml:space="preserve"> take</w:t>
      </w:r>
      <w:r w:rsidR="0074070A">
        <w:rPr>
          <w:bCs/>
          <w:iCs/>
        </w:rPr>
        <w:t xml:space="preserve"> up to </w:t>
      </w:r>
      <w:r w:rsidR="008B6EF1">
        <w:rPr>
          <w:bCs/>
          <w:iCs/>
        </w:rPr>
        <w:t>a</w:t>
      </w:r>
      <w:r w:rsidR="006E7312" w:rsidRPr="006E7312">
        <w:rPr>
          <w:bCs/>
          <w:iCs/>
        </w:rPr>
        <w:t xml:space="preserve"> </w:t>
      </w:r>
      <w:r w:rsidR="0074070A">
        <w:rPr>
          <w:bCs/>
          <w:iCs/>
        </w:rPr>
        <w:t xml:space="preserve">$300 </w:t>
      </w:r>
      <w:r w:rsidR="006E7312" w:rsidRPr="006E7312">
        <w:rPr>
          <w:bCs/>
          <w:iCs/>
        </w:rPr>
        <w:t>deduction for out-of-pocket classroom expenses</w:t>
      </w:r>
      <w:r w:rsidR="00CB47B8">
        <w:rPr>
          <w:bCs/>
          <w:iCs/>
        </w:rPr>
        <w:t xml:space="preserve"> in 2022. A</w:t>
      </w:r>
      <w:r w:rsidR="006E7312" w:rsidRPr="006E7312">
        <w:rPr>
          <w:bCs/>
          <w:iCs/>
        </w:rPr>
        <w:t>n eligible educator is an individual who is a kindergarten through grade 12 teacher, instructor, counselor, principal, or aide. The individual must work in a school</w:t>
      </w:r>
      <w:r w:rsidR="00CB47B8">
        <w:rPr>
          <w:bCs/>
          <w:iCs/>
        </w:rPr>
        <w:t xml:space="preserve"> </w:t>
      </w:r>
      <w:r w:rsidR="006E7312" w:rsidRPr="006E7312">
        <w:rPr>
          <w:bCs/>
          <w:iCs/>
        </w:rPr>
        <w:t>for at least 900 hours during a school year.</w:t>
      </w:r>
    </w:p>
    <w:p w14:paraId="2DC62130" w14:textId="77777777" w:rsidR="0030524B" w:rsidRDefault="0030524B" w:rsidP="001C34ED">
      <w:pPr>
        <w:jc w:val="both"/>
        <w:rPr>
          <w:bCs/>
          <w:iCs/>
        </w:rPr>
      </w:pPr>
    </w:p>
    <w:p w14:paraId="7AB9550E" w14:textId="2A8F9C54" w:rsidR="006E52EA" w:rsidRDefault="006E52EA" w:rsidP="001C34ED">
      <w:pPr>
        <w:jc w:val="both"/>
        <w:rPr>
          <w:bCs/>
          <w:iCs/>
        </w:rPr>
      </w:pPr>
      <w:r>
        <w:rPr>
          <w:bCs/>
          <w:iCs/>
        </w:rPr>
        <w:t xml:space="preserve">Out-of-pocket expenses include books, </w:t>
      </w:r>
      <w:r w:rsidR="00DB18FD" w:rsidRPr="00DB18FD">
        <w:rPr>
          <w:bCs/>
          <w:iCs/>
        </w:rPr>
        <w:t>supplies (other than nonathletic supplies for courses of instruction in health or physical education), computer equipment</w:t>
      </w:r>
      <w:r w:rsidR="00DB18FD">
        <w:rPr>
          <w:bCs/>
          <w:iCs/>
        </w:rPr>
        <w:t xml:space="preserve">, </w:t>
      </w:r>
      <w:r w:rsidR="00DB18FD" w:rsidRPr="00DB18FD">
        <w:rPr>
          <w:bCs/>
          <w:iCs/>
        </w:rPr>
        <w:t>including related software and services and other equipment, and supplementary materials used by them in the classroom</w:t>
      </w:r>
      <w:r w:rsidR="00DB18FD">
        <w:rPr>
          <w:bCs/>
          <w:iCs/>
        </w:rPr>
        <w:t>. In add</w:t>
      </w:r>
      <w:r w:rsidR="00F760E6">
        <w:rPr>
          <w:bCs/>
          <w:iCs/>
        </w:rPr>
        <w:t xml:space="preserve">ition, qualified expenses include </w:t>
      </w:r>
      <w:r w:rsidRPr="006E52EA">
        <w:rPr>
          <w:bCs/>
          <w:iCs/>
        </w:rPr>
        <w:t>personal protective equipment, disinfectant, and other supplies used for the prevention of the spread of COVID-19</w:t>
      </w:r>
      <w:r w:rsidR="00A74C2F">
        <w:rPr>
          <w:bCs/>
          <w:iCs/>
        </w:rPr>
        <w:t>. C</w:t>
      </w:r>
      <w:r w:rsidRPr="006E52EA">
        <w:rPr>
          <w:bCs/>
          <w:iCs/>
        </w:rPr>
        <w:t>overed items include face masks; disinfectant; hand soap; hand sanitizer; disposable gloves; tape, paint, or chalk used to guide social distancing; physical barriers, such as clear plexiglass; air purifiers; and other items</w:t>
      </w:r>
      <w:r w:rsidR="00704B05">
        <w:rPr>
          <w:bCs/>
          <w:iCs/>
        </w:rPr>
        <w:t xml:space="preserve"> </w:t>
      </w:r>
      <w:r w:rsidRPr="006E52EA">
        <w:rPr>
          <w:bCs/>
          <w:iCs/>
        </w:rPr>
        <w:t>recommended by the Centers for Disease Control (CDC) for the purpose of preventing the spread of COVID-19.</w:t>
      </w:r>
    </w:p>
    <w:p w14:paraId="45CB6F02" w14:textId="77777777" w:rsidR="006E52EA" w:rsidRPr="00014B54" w:rsidRDefault="006E52EA" w:rsidP="001C34ED">
      <w:pPr>
        <w:jc w:val="both"/>
        <w:rPr>
          <w:bCs/>
          <w:iCs/>
        </w:rPr>
      </w:pPr>
    </w:p>
    <w:p w14:paraId="75435418" w14:textId="11540803" w:rsidR="001C34ED" w:rsidRDefault="003F1237" w:rsidP="001C34ED">
      <w:pPr>
        <w:jc w:val="both"/>
        <w:rPr>
          <w:iCs/>
        </w:rPr>
      </w:pPr>
      <w:r w:rsidRPr="000C1F39">
        <w:rPr>
          <w:b/>
          <w:iCs/>
        </w:rPr>
        <w:t xml:space="preserve">Standard </w:t>
      </w:r>
      <w:r w:rsidR="00A0242E" w:rsidRPr="000C1F39">
        <w:rPr>
          <w:b/>
          <w:iCs/>
        </w:rPr>
        <w:t>M</w:t>
      </w:r>
      <w:r w:rsidRPr="000C1F39">
        <w:rPr>
          <w:b/>
          <w:iCs/>
        </w:rPr>
        <w:t xml:space="preserve">ileage </w:t>
      </w:r>
      <w:r w:rsidR="00A0242E" w:rsidRPr="000C1F39">
        <w:rPr>
          <w:b/>
          <w:iCs/>
        </w:rPr>
        <w:t>R</w:t>
      </w:r>
      <w:r w:rsidRPr="000C1F39">
        <w:rPr>
          <w:b/>
          <w:iCs/>
        </w:rPr>
        <w:t xml:space="preserve">ate. </w:t>
      </w:r>
      <w:r w:rsidRPr="000C1F39">
        <w:rPr>
          <w:iCs/>
        </w:rPr>
        <w:t>Taxpayers can use the standard mileage rate (in lieu of actual expenses) in computing the deductible costs of operating automobiles owned or leased by them (including vans, pickups</w:t>
      </w:r>
      <w:r w:rsidR="004704A0" w:rsidRPr="000C1F39">
        <w:rPr>
          <w:iCs/>
        </w:rPr>
        <w:t>,</w:t>
      </w:r>
      <w:r w:rsidRPr="000C1F39">
        <w:rPr>
          <w:iCs/>
        </w:rPr>
        <w:t xml:space="preserve"> or panel trucks) for business purposes. This rate is also used as a benchmark by the federal </w:t>
      </w:r>
      <w:r w:rsidRPr="000C1F39">
        <w:rPr>
          <w:iCs/>
        </w:rPr>
        <w:t>government and many businesses to reimburse their employees for business travel.</w:t>
      </w:r>
      <w:r w:rsidR="00225352" w:rsidRPr="000C1F39">
        <w:rPr>
          <w:iCs/>
        </w:rPr>
        <w:t xml:space="preserve"> </w:t>
      </w:r>
    </w:p>
    <w:p w14:paraId="2CE25663" w14:textId="3798A01D" w:rsidR="003F1237" w:rsidRPr="000C1F39" w:rsidRDefault="003F1237" w:rsidP="001C34ED">
      <w:pPr>
        <w:jc w:val="both"/>
        <w:rPr>
          <w:iCs/>
        </w:rPr>
      </w:pPr>
      <w:r w:rsidRPr="000C1F39">
        <w:rPr>
          <w:iCs/>
        </w:rPr>
        <w:t>The following rates are applicable for the 20</w:t>
      </w:r>
      <w:r w:rsidR="004704A0" w:rsidRPr="000C1F39">
        <w:rPr>
          <w:iCs/>
        </w:rPr>
        <w:t>2</w:t>
      </w:r>
      <w:r w:rsidR="000059EF" w:rsidRPr="000C1F39">
        <w:rPr>
          <w:iCs/>
        </w:rPr>
        <w:t>2</w:t>
      </w:r>
      <w:r w:rsidRPr="000C1F39">
        <w:rPr>
          <w:iCs/>
        </w:rPr>
        <w:t xml:space="preserve"> tax year: </w:t>
      </w:r>
    </w:p>
    <w:p w14:paraId="17D15575" w14:textId="77777777" w:rsidR="00464685" w:rsidRPr="000C1F39" w:rsidRDefault="00464685" w:rsidP="001C34ED">
      <w:pPr>
        <w:jc w:val="both"/>
        <w:rPr>
          <w:b/>
          <w:iCs/>
        </w:rPr>
      </w:pPr>
    </w:p>
    <w:p w14:paraId="0218E651" w14:textId="019079F2" w:rsidR="003F1237" w:rsidRPr="003F1517" w:rsidRDefault="00464685" w:rsidP="001C34ED">
      <w:pPr>
        <w:jc w:val="both"/>
        <w:rPr>
          <w:bCs/>
          <w:iCs/>
        </w:rPr>
      </w:pPr>
      <w:r w:rsidRPr="003F1517">
        <w:rPr>
          <w:bCs/>
          <w:iCs/>
        </w:rPr>
        <w:t>January 1 – June 30</w:t>
      </w:r>
      <w:r w:rsidR="003F1237" w:rsidRPr="000C1F39">
        <w:rPr>
          <w:bCs/>
          <w:iCs/>
        </w:rPr>
        <w:tab/>
      </w:r>
      <w:r w:rsidR="003F1517">
        <w:rPr>
          <w:bCs/>
          <w:iCs/>
        </w:rPr>
        <w:tab/>
      </w:r>
      <w:r w:rsidR="003F1517" w:rsidRPr="003F1517">
        <w:rPr>
          <w:bCs/>
          <w:iCs/>
        </w:rPr>
        <w:t xml:space="preserve">     Cents per mile</w:t>
      </w:r>
    </w:p>
    <w:p w14:paraId="10485672" w14:textId="413A9ECC" w:rsidR="003F1237" w:rsidRPr="003F1517" w:rsidRDefault="003F1237" w:rsidP="001C34ED">
      <w:pPr>
        <w:ind w:firstLine="720"/>
        <w:jc w:val="both"/>
        <w:rPr>
          <w:bCs/>
          <w:iCs/>
        </w:rPr>
      </w:pPr>
      <w:r w:rsidRPr="003F1517">
        <w:rPr>
          <w:bCs/>
          <w:iCs/>
        </w:rPr>
        <w:t xml:space="preserve">Business </w:t>
      </w:r>
      <w:r w:rsidRPr="003F1517">
        <w:rPr>
          <w:bCs/>
          <w:iCs/>
        </w:rPr>
        <w:tab/>
      </w:r>
      <w:r w:rsidRPr="003F1517">
        <w:rPr>
          <w:bCs/>
          <w:iCs/>
        </w:rPr>
        <w:tab/>
      </w:r>
      <w:r w:rsidRPr="003F1517">
        <w:rPr>
          <w:bCs/>
          <w:iCs/>
        </w:rPr>
        <w:tab/>
      </w:r>
      <w:r w:rsidR="006644E5" w:rsidRPr="003F1517">
        <w:rPr>
          <w:bCs/>
          <w:iCs/>
        </w:rPr>
        <w:t xml:space="preserve"> </w:t>
      </w:r>
      <w:r w:rsidR="00795943" w:rsidRPr="003F1517">
        <w:rPr>
          <w:bCs/>
          <w:iCs/>
        </w:rPr>
        <w:t xml:space="preserve">  </w:t>
      </w:r>
      <w:r w:rsidRPr="003F1517">
        <w:rPr>
          <w:bCs/>
          <w:iCs/>
        </w:rPr>
        <w:t>5</w:t>
      </w:r>
      <w:r w:rsidR="00437165" w:rsidRPr="003F1517">
        <w:rPr>
          <w:bCs/>
          <w:iCs/>
        </w:rPr>
        <w:t>8.5</w:t>
      </w:r>
    </w:p>
    <w:p w14:paraId="4228FC8D" w14:textId="00EABD7F" w:rsidR="003F1237" w:rsidRPr="003F1517" w:rsidRDefault="003F1237" w:rsidP="001C34ED">
      <w:pPr>
        <w:ind w:firstLine="720"/>
        <w:jc w:val="both"/>
        <w:rPr>
          <w:bCs/>
          <w:iCs/>
        </w:rPr>
      </w:pPr>
      <w:r w:rsidRPr="003F1517">
        <w:rPr>
          <w:bCs/>
          <w:iCs/>
        </w:rPr>
        <w:t xml:space="preserve">Medical </w:t>
      </w:r>
      <w:r w:rsidRPr="003F1517">
        <w:rPr>
          <w:bCs/>
          <w:iCs/>
        </w:rPr>
        <w:tab/>
      </w:r>
      <w:r w:rsidRPr="003F1517">
        <w:rPr>
          <w:bCs/>
          <w:iCs/>
        </w:rPr>
        <w:tab/>
        <w:t xml:space="preserve">         </w:t>
      </w:r>
      <w:r w:rsidRPr="003F1517">
        <w:rPr>
          <w:bCs/>
          <w:iCs/>
        </w:rPr>
        <w:tab/>
        <w:t xml:space="preserve"> </w:t>
      </w:r>
      <w:r w:rsidR="001E02E9" w:rsidRPr="003F1517">
        <w:rPr>
          <w:bCs/>
          <w:iCs/>
        </w:rPr>
        <w:t xml:space="preserve">  </w:t>
      </w:r>
      <w:r w:rsidR="00615C98" w:rsidRPr="003F1517">
        <w:rPr>
          <w:bCs/>
          <w:iCs/>
        </w:rPr>
        <w:t>1</w:t>
      </w:r>
      <w:r w:rsidR="000C1F39" w:rsidRPr="003F1517">
        <w:rPr>
          <w:bCs/>
          <w:iCs/>
        </w:rPr>
        <w:t>8</w:t>
      </w:r>
    </w:p>
    <w:p w14:paraId="396D935A" w14:textId="48746C41" w:rsidR="003F1237" w:rsidRPr="003F1517" w:rsidRDefault="003F1237" w:rsidP="001C34ED">
      <w:pPr>
        <w:ind w:firstLine="720"/>
        <w:jc w:val="both"/>
        <w:rPr>
          <w:bCs/>
          <w:iCs/>
        </w:rPr>
      </w:pPr>
      <w:r w:rsidRPr="003F1517">
        <w:rPr>
          <w:bCs/>
          <w:iCs/>
        </w:rPr>
        <w:t>Moving</w:t>
      </w:r>
      <w:r w:rsidRPr="003F1517">
        <w:rPr>
          <w:bCs/>
          <w:iCs/>
        </w:rPr>
        <w:tab/>
        <w:t xml:space="preserve">    </w:t>
      </w:r>
      <w:r w:rsidRPr="003F1517">
        <w:rPr>
          <w:bCs/>
          <w:iCs/>
        </w:rPr>
        <w:tab/>
        <w:t xml:space="preserve">         </w:t>
      </w:r>
      <w:r w:rsidRPr="003F1517">
        <w:rPr>
          <w:bCs/>
          <w:iCs/>
        </w:rPr>
        <w:tab/>
        <w:t xml:space="preserve"> </w:t>
      </w:r>
      <w:r w:rsidR="001E02E9" w:rsidRPr="003F1517">
        <w:rPr>
          <w:bCs/>
          <w:iCs/>
        </w:rPr>
        <w:t xml:space="preserve">  </w:t>
      </w:r>
      <w:r w:rsidR="00615C98" w:rsidRPr="003F1517">
        <w:rPr>
          <w:bCs/>
          <w:iCs/>
        </w:rPr>
        <w:t>1</w:t>
      </w:r>
      <w:r w:rsidR="000C1F39" w:rsidRPr="003F1517">
        <w:rPr>
          <w:bCs/>
          <w:iCs/>
        </w:rPr>
        <w:t>8</w:t>
      </w:r>
    </w:p>
    <w:p w14:paraId="3BBAAD47" w14:textId="3569DF85" w:rsidR="003F1237" w:rsidRPr="003F1517" w:rsidRDefault="003F1237" w:rsidP="001C34ED">
      <w:pPr>
        <w:ind w:firstLine="720"/>
        <w:jc w:val="both"/>
        <w:rPr>
          <w:b/>
          <w:bCs/>
          <w:iCs/>
        </w:rPr>
      </w:pPr>
      <w:r w:rsidRPr="003F1517">
        <w:rPr>
          <w:bCs/>
          <w:iCs/>
        </w:rPr>
        <w:t>Charitable</w:t>
      </w:r>
      <w:r w:rsidRPr="003F1517">
        <w:rPr>
          <w:bCs/>
          <w:iCs/>
        </w:rPr>
        <w:tab/>
        <w:t xml:space="preserve">     </w:t>
      </w:r>
      <w:r w:rsidRPr="003F1517">
        <w:rPr>
          <w:b/>
          <w:bCs/>
          <w:iCs/>
        </w:rPr>
        <w:tab/>
        <w:t xml:space="preserve"> </w:t>
      </w:r>
      <w:r w:rsidRPr="003F1517">
        <w:rPr>
          <w:b/>
          <w:bCs/>
          <w:iCs/>
        </w:rPr>
        <w:tab/>
      </w:r>
      <w:r w:rsidRPr="003F1517">
        <w:rPr>
          <w:bCs/>
          <w:iCs/>
        </w:rPr>
        <w:t xml:space="preserve"> </w:t>
      </w:r>
      <w:r w:rsidR="001E02E9" w:rsidRPr="003F1517">
        <w:rPr>
          <w:bCs/>
          <w:iCs/>
        </w:rPr>
        <w:t xml:space="preserve"> </w:t>
      </w:r>
      <w:r w:rsidRPr="003F1517">
        <w:rPr>
          <w:bCs/>
          <w:iCs/>
        </w:rPr>
        <w:t xml:space="preserve"> </w:t>
      </w:r>
      <w:r w:rsidRPr="003F1517">
        <w:rPr>
          <w:iCs/>
        </w:rPr>
        <w:t>14</w:t>
      </w:r>
    </w:p>
    <w:p w14:paraId="11F4FB04" w14:textId="77777777" w:rsidR="00AF6A45" w:rsidRPr="003F1517" w:rsidRDefault="00AF6A45" w:rsidP="001C34ED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bookmarkStart w:id="0" w:name="NLANA:11285.22-1"/>
      <w:bookmarkEnd w:id="0"/>
    </w:p>
    <w:p w14:paraId="54E36341" w14:textId="3ACE72A3" w:rsidR="00571ADB" w:rsidRPr="003F1517" w:rsidRDefault="00AF6A45" w:rsidP="001C34ED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F1517">
        <w:rPr>
          <w:rFonts w:ascii="Times New Roman" w:hAnsi="Times New Roman"/>
          <w:iCs/>
          <w:sz w:val="24"/>
          <w:szCs w:val="24"/>
        </w:rPr>
        <w:t>July 1 – December 31</w:t>
      </w:r>
      <w:r w:rsidR="003F1517" w:rsidRPr="003F1517">
        <w:rPr>
          <w:rFonts w:ascii="Times New Roman" w:hAnsi="Times New Roman"/>
          <w:iCs/>
          <w:sz w:val="24"/>
          <w:szCs w:val="24"/>
        </w:rPr>
        <w:tab/>
      </w:r>
      <w:r w:rsidR="003F1517" w:rsidRPr="003F1517">
        <w:rPr>
          <w:rFonts w:ascii="Times New Roman" w:hAnsi="Times New Roman"/>
          <w:iCs/>
          <w:sz w:val="24"/>
          <w:szCs w:val="24"/>
        </w:rPr>
        <w:tab/>
      </w:r>
      <w:r w:rsidR="003F1517" w:rsidRPr="003F1517">
        <w:rPr>
          <w:rFonts w:ascii="Times New Roman" w:hAnsi="Times New Roman"/>
          <w:bCs/>
          <w:iCs/>
          <w:sz w:val="24"/>
          <w:szCs w:val="24"/>
        </w:rPr>
        <w:t xml:space="preserve">     Cents per mile</w:t>
      </w:r>
    </w:p>
    <w:p w14:paraId="6DF06125" w14:textId="08615F6C" w:rsidR="00AF6A45" w:rsidRPr="000C1F39" w:rsidRDefault="00AF6A45" w:rsidP="001C34ED">
      <w:pPr>
        <w:ind w:firstLine="720"/>
        <w:jc w:val="both"/>
        <w:rPr>
          <w:bCs/>
          <w:iCs/>
        </w:rPr>
      </w:pPr>
      <w:r w:rsidRPr="000C1F39">
        <w:rPr>
          <w:bCs/>
          <w:iCs/>
        </w:rPr>
        <w:t xml:space="preserve">Business </w:t>
      </w:r>
      <w:r w:rsidRPr="000C1F39">
        <w:rPr>
          <w:bCs/>
          <w:iCs/>
        </w:rPr>
        <w:tab/>
      </w:r>
      <w:r w:rsidRPr="000C1F39">
        <w:rPr>
          <w:bCs/>
          <w:iCs/>
        </w:rPr>
        <w:tab/>
      </w:r>
      <w:r w:rsidRPr="000C1F39">
        <w:rPr>
          <w:bCs/>
          <w:iCs/>
        </w:rPr>
        <w:tab/>
        <w:t xml:space="preserve">   </w:t>
      </w:r>
      <w:r w:rsidR="00437165" w:rsidRPr="000C1F39">
        <w:rPr>
          <w:bCs/>
          <w:iCs/>
        </w:rPr>
        <w:t>62.5</w:t>
      </w:r>
    </w:p>
    <w:p w14:paraId="39CBB46A" w14:textId="1A96761F" w:rsidR="00AF6A45" w:rsidRPr="000C1F39" w:rsidRDefault="00AF6A45" w:rsidP="001C34ED">
      <w:pPr>
        <w:ind w:firstLine="720"/>
        <w:jc w:val="both"/>
        <w:rPr>
          <w:bCs/>
          <w:iCs/>
        </w:rPr>
      </w:pPr>
      <w:r w:rsidRPr="000C1F39">
        <w:rPr>
          <w:bCs/>
          <w:iCs/>
        </w:rPr>
        <w:t xml:space="preserve">Medical </w:t>
      </w:r>
      <w:r w:rsidRPr="000C1F39">
        <w:rPr>
          <w:bCs/>
          <w:iCs/>
        </w:rPr>
        <w:tab/>
      </w:r>
      <w:r w:rsidRPr="000C1F39">
        <w:rPr>
          <w:bCs/>
          <w:iCs/>
        </w:rPr>
        <w:tab/>
        <w:t xml:space="preserve">         </w:t>
      </w:r>
      <w:r w:rsidRPr="000C1F39">
        <w:rPr>
          <w:bCs/>
          <w:iCs/>
        </w:rPr>
        <w:tab/>
        <w:t xml:space="preserve">   </w:t>
      </w:r>
      <w:r w:rsidR="002450E4" w:rsidRPr="000C1F39">
        <w:rPr>
          <w:bCs/>
          <w:iCs/>
        </w:rPr>
        <w:t>22</w:t>
      </w:r>
    </w:p>
    <w:p w14:paraId="56D5169B" w14:textId="193E4C78" w:rsidR="00AF6A45" w:rsidRPr="000C1F39" w:rsidRDefault="00AF6A45" w:rsidP="001C34ED">
      <w:pPr>
        <w:ind w:firstLine="720"/>
        <w:jc w:val="both"/>
        <w:rPr>
          <w:bCs/>
          <w:iCs/>
        </w:rPr>
      </w:pPr>
      <w:r w:rsidRPr="000C1F39">
        <w:rPr>
          <w:bCs/>
          <w:iCs/>
        </w:rPr>
        <w:t>Moving</w:t>
      </w:r>
      <w:r w:rsidRPr="000C1F39">
        <w:rPr>
          <w:bCs/>
          <w:iCs/>
        </w:rPr>
        <w:tab/>
        <w:t xml:space="preserve">    </w:t>
      </w:r>
      <w:r w:rsidRPr="000C1F39">
        <w:rPr>
          <w:bCs/>
          <w:iCs/>
        </w:rPr>
        <w:tab/>
        <w:t xml:space="preserve">         </w:t>
      </w:r>
      <w:r w:rsidRPr="000C1F39">
        <w:rPr>
          <w:bCs/>
          <w:iCs/>
        </w:rPr>
        <w:tab/>
        <w:t xml:space="preserve">   </w:t>
      </w:r>
      <w:r w:rsidR="002450E4" w:rsidRPr="000C1F39">
        <w:rPr>
          <w:bCs/>
          <w:iCs/>
        </w:rPr>
        <w:t>22</w:t>
      </w:r>
    </w:p>
    <w:p w14:paraId="47D118D1" w14:textId="38380B9A" w:rsidR="00AF6A45" w:rsidRDefault="00AF6A45" w:rsidP="001C34ED">
      <w:pPr>
        <w:ind w:firstLine="720"/>
        <w:jc w:val="both"/>
        <w:rPr>
          <w:iCs/>
        </w:rPr>
      </w:pPr>
      <w:r w:rsidRPr="000C1F39">
        <w:rPr>
          <w:bCs/>
          <w:iCs/>
        </w:rPr>
        <w:t>Charitable</w:t>
      </w:r>
      <w:r w:rsidRPr="000C1F39">
        <w:rPr>
          <w:bCs/>
          <w:iCs/>
        </w:rPr>
        <w:tab/>
        <w:t xml:space="preserve">     </w:t>
      </w:r>
      <w:r w:rsidRPr="000C1F39">
        <w:rPr>
          <w:b/>
          <w:bCs/>
          <w:iCs/>
        </w:rPr>
        <w:tab/>
        <w:t xml:space="preserve"> </w:t>
      </w:r>
      <w:r w:rsidRPr="000C1F39">
        <w:rPr>
          <w:b/>
          <w:bCs/>
          <w:iCs/>
        </w:rPr>
        <w:tab/>
      </w:r>
      <w:r w:rsidRPr="000C1F39">
        <w:rPr>
          <w:bCs/>
          <w:iCs/>
        </w:rPr>
        <w:t xml:space="preserve">   </w:t>
      </w:r>
      <w:r w:rsidRPr="000C1F39">
        <w:rPr>
          <w:iCs/>
        </w:rPr>
        <w:t>14</w:t>
      </w:r>
    </w:p>
    <w:p w14:paraId="6207C843" w14:textId="77777777" w:rsidR="00582283" w:rsidRDefault="00582283" w:rsidP="001C34ED">
      <w:pPr>
        <w:jc w:val="both"/>
        <w:rPr>
          <w:iCs/>
        </w:rPr>
      </w:pPr>
    </w:p>
    <w:p w14:paraId="45DB7A58" w14:textId="36FEC2B0" w:rsidR="00582283" w:rsidRDefault="00582283" w:rsidP="001C34ED">
      <w:pPr>
        <w:jc w:val="both"/>
        <w:rPr>
          <w:iCs/>
        </w:rPr>
      </w:pPr>
      <w:r w:rsidRPr="007E176A">
        <w:rPr>
          <w:b/>
          <w:bCs/>
          <w:iCs/>
        </w:rPr>
        <w:t>Retirement plan con</w:t>
      </w:r>
      <w:r w:rsidR="007E176A" w:rsidRPr="007E176A">
        <w:rPr>
          <w:b/>
          <w:bCs/>
          <w:iCs/>
        </w:rPr>
        <w:t>tribution limits for 2023.</w:t>
      </w:r>
      <w:r w:rsidR="007E176A">
        <w:rPr>
          <w:b/>
          <w:bCs/>
          <w:iCs/>
        </w:rPr>
        <w:t xml:space="preserve"> </w:t>
      </w:r>
      <w:r w:rsidR="007E176A">
        <w:rPr>
          <w:iCs/>
        </w:rPr>
        <w:t xml:space="preserve">The IRS recently announced the qualified plan and IRA contribution limits for 2023. </w:t>
      </w:r>
    </w:p>
    <w:p w14:paraId="4B6E72FC" w14:textId="77777777" w:rsidR="007E176A" w:rsidRDefault="007E176A" w:rsidP="001C34ED">
      <w:pPr>
        <w:jc w:val="both"/>
        <w:rPr>
          <w:iCs/>
        </w:rPr>
      </w:pPr>
    </w:p>
    <w:p w14:paraId="52ABF419" w14:textId="21596E4F" w:rsidR="00241301" w:rsidRPr="00241301" w:rsidRDefault="00241301" w:rsidP="001C34ED">
      <w:pPr>
        <w:jc w:val="both"/>
        <w:rPr>
          <w:iCs/>
        </w:rPr>
      </w:pPr>
      <w:r w:rsidRPr="00241301">
        <w:rPr>
          <w:iCs/>
        </w:rPr>
        <w:t>The contribution limit for employees who participate in 401(k), 403(b), most 457 plans, and the federal government</w:t>
      </w:r>
      <w:r>
        <w:rPr>
          <w:iCs/>
        </w:rPr>
        <w:t>’</w:t>
      </w:r>
      <w:r w:rsidRPr="00241301">
        <w:rPr>
          <w:iCs/>
        </w:rPr>
        <w:t>s Thrift Savings Plan is increased to $22,500.</w:t>
      </w:r>
    </w:p>
    <w:p w14:paraId="29C04038" w14:textId="77777777" w:rsidR="00241301" w:rsidRPr="00241301" w:rsidRDefault="00241301" w:rsidP="001C34ED">
      <w:pPr>
        <w:jc w:val="both"/>
        <w:rPr>
          <w:iCs/>
        </w:rPr>
      </w:pPr>
    </w:p>
    <w:p w14:paraId="0B2A5519" w14:textId="58B5D330" w:rsidR="00444CBC" w:rsidRDefault="00C904C8" w:rsidP="001C34ED">
      <w:pPr>
        <w:jc w:val="both"/>
        <w:rPr>
          <w:iCs/>
        </w:rPr>
      </w:pPr>
      <w:r w:rsidRPr="00C904C8">
        <w:rPr>
          <w:iCs/>
        </w:rPr>
        <w:t>The catch-up contribution limit for employees aged 50 and over who participate in 401(k), 403(b), most 457 plans, and the federal government</w:t>
      </w:r>
      <w:r>
        <w:rPr>
          <w:iCs/>
        </w:rPr>
        <w:t>’</w:t>
      </w:r>
      <w:r w:rsidRPr="00C904C8">
        <w:rPr>
          <w:iCs/>
        </w:rPr>
        <w:t xml:space="preserve">s Thrift Savings Plan is increased to $7,500. Therefore, </w:t>
      </w:r>
      <w:r w:rsidR="001B0A69">
        <w:rPr>
          <w:iCs/>
        </w:rPr>
        <w:t>if you are</w:t>
      </w:r>
      <w:r w:rsidRPr="00C904C8">
        <w:rPr>
          <w:iCs/>
        </w:rPr>
        <w:t xml:space="preserve"> 50 and older</w:t>
      </w:r>
      <w:r w:rsidR="00B44A88">
        <w:rPr>
          <w:iCs/>
        </w:rPr>
        <w:t xml:space="preserve"> you </w:t>
      </w:r>
      <w:r w:rsidRPr="00C904C8">
        <w:rPr>
          <w:iCs/>
        </w:rPr>
        <w:t xml:space="preserve"> can contribute up to $30,000, starting in 2023. </w:t>
      </w:r>
    </w:p>
    <w:p w14:paraId="541BE30E" w14:textId="77777777" w:rsidR="00444CBC" w:rsidRDefault="00444CBC" w:rsidP="001C34ED">
      <w:pPr>
        <w:jc w:val="both"/>
        <w:rPr>
          <w:iCs/>
        </w:rPr>
      </w:pPr>
    </w:p>
    <w:p w14:paraId="68F73709" w14:textId="720F6829" w:rsidR="00C904C8" w:rsidRPr="007E176A" w:rsidRDefault="00C904C8" w:rsidP="001C34ED">
      <w:pPr>
        <w:jc w:val="both"/>
        <w:rPr>
          <w:iCs/>
        </w:rPr>
      </w:pPr>
      <w:r w:rsidRPr="00C904C8">
        <w:rPr>
          <w:iCs/>
        </w:rPr>
        <w:t>The catch-up contribution limit for employees aged 50 and over who participate in SIMPLE plans is increased to $3,500, up from $3,000.</w:t>
      </w:r>
    </w:p>
    <w:p w14:paraId="5D7A4203" w14:textId="3BB1E1F8" w:rsidR="00AF6A45" w:rsidRDefault="00AF6A45" w:rsidP="001C34ED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/>
          <w:iCs/>
          <w:color w:val="FF0000"/>
          <w:sz w:val="24"/>
          <w:szCs w:val="24"/>
        </w:rPr>
      </w:pPr>
    </w:p>
    <w:p w14:paraId="62C85D29" w14:textId="77777777" w:rsidR="00444CBC" w:rsidRDefault="00444CBC" w:rsidP="001C34ED">
      <w:pPr>
        <w:jc w:val="both"/>
        <w:rPr>
          <w:iCs/>
        </w:rPr>
      </w:pPr>
      <w:r w:rsidRPr="00241301">
        <w:rPr>
          <w:iCs/>
        </w:rPr>
        <w:t>The limit on annual contributions to an IRA increased to $6,500. The IRA catch‑up contribution limit for individuals aged 50 and over is not subject to an annual cost‑of‑living adjustment and remains $1,000.</w:t>
      </w:r>
    </w:p>
    <w:p w14:paraId="1CC593EB" w14:textId="77777777" w:rsidR="00444CBC" w:rsidRDefault="00444CBC" w:rsidP="001C34ED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/>
          <w:iCs/>
          <w:color w:val="FF0000"/>
          <w:sz w:val="24"/>
          <w:szCs w:val="24"/>
        </w:rPr>
      </w:pPr>
    </w:p>
    <w:p w14:paraId="2B582F92" w14:textId="1BA0A827" w:rsidR="00C52083" w:rsidRPr="004765AE" w:rsidRDefault="00C52083" w:rsidP="001C34ED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i/>
          <w:sz w:val="36"/>
          <w:szCs w:val="36"/>
        </w:rPr>
      </w:pPr>
      <w:r w:rsidRPr="004765AE">
        <w:rPr>
          <w:rFonts w:ascii="Times New Roman" w:hAnsi="Times New Roman"/>
          <w:b/>
          <w:bCs/>
          <w:i/>
          <w:sz w:val="36"/>
          <w:szCs w:val="36"/>
        </w:rPr>
        <w:t>Year-End Planning</w:t>
      </w:r>
    </w:p>
    <w:p w14:paraId="33C1C0C5" w14:textId="54C660DB" w:rsidR="002A3544" w:rsidRPr="00F101DF" w:rsidRDefault="002A3544" w:rsidP="001C34ED">
      <w:pPr>
        <w:jc w:val="both"/>
        <w:rPr>
          <w:bCs/>
          <w:iCs/>
          <w:color w:val="FF0000"/>
        </w:rPr>
      </w:pPr>
    </w:p>
    <w:p w14:paraId="597EA52C" w14:textId="5BDD6F01" w:rsidR="00851E43" w:rsidRPr="009A7FA3" w:rsidRDefault="00851E43" w:rsidP="001C34ED">
      <w:pPr>
        <w:jc w:val="both"/>
        <w:rPr>
          <w:bCs/>
          <w:iCs/>
        </w:rPr>
      </w:pPr>
      <w:r w:rsidRPr="009A7FA3">
        <w:rPr>
          <w:bCs/>
          <w:iCs/>
        </w:rPr>
        <w:lastRenderedPageBreak/>
        <w:t xml:space="preserve">Year-end planning is always complicated by the uncertainty of what the following year may bring, but this year presents </w:t>
      </w:r>
      <w:r w:rsidR="00903CE9" w:rsidRPr="009A7FA3">
        <w:rPr>
          <w:bCs/>
          <w:iCs/>
        </w:rPr>
        <w:t>yet another</w:t>
      </w:r>
      <w:r w:rsidRPr="009A7FA3">
        <w:rPr>
          <w:bCs/>
          <w:iCs/>
        </w:rPr>
        <w:t xml:space="preserve"> challenge.  </w:t>
      </w:r>
      <w:r w:rsidR="005E5E76" w:rsidRPr="009A7FA3">
        <w:rPr>
          <w:bCs/>
          <w:iCs/>
        </w:rPr>
        <w:t>Inflation</w:t>
      </w:r>
      <w:r w:rsidR="00802BBA" w:rsidRPr="009A7FA3">
        <w:rPr>
          <w:bCs/>
          <w:iCs/>
        </w:rPr>
        <w:t xml:space="preserve"> is </w:t>
      </w:r>
      <w:r w:rsidR="005E5E76" w:rsidRPr="009A7FA3">
        <w:rPr>
          <w:bCs/>
          <w:iCs/>
        </w:rPr>
        <w:t>growing and everything seems to be more expensive tha</w:t>
      </w:r>
      <w:r w:rsidR="00E5023E" w:rsidRPr="009A7FA3">
        <w:rPr>
          <w:bCs/>
          <w:iCs/>
        </w:rPr>
        <w:t>n</w:t>
      </w:r>
      <w:r w:rsidR="005E5E76" w:rsidRPr="009A7FA3">
        <w:rPr>
          <w:bCs/>
          <w:iCs/>
        </w:rPr>
        <w:t xml:space="preserve"> that year.</w:t>
      </w:r>
      <w:r w:rsidR="00E5023E" w:rsidRPr="009A7FA3">
        <w:rPr>
          <w:bCs/>
          <w:iCs/>
        </w:rPr>
        <w:t xml:space="preserve"> </w:t>
      </w:r>
      <w:r w:rsidR="004A39E8" w:rsidRPr="009A7FA3">
        <w:rPr>
          <w:bCs/>
          <w:iCs/>
        </w:rPr>
        <w:t>Looking for ways to save will require some creativity</w:t>
      </w:r>
      <w:r w:rsidR="009A7FA3" w:rsidRPr="009A7FA3">
        <w:rPr>
          <w:bCs/>
          <w:iCs/>
        </w:rPr>
        <w:t xml:space="preserve"> and saving on your tax bill is a good place to start. </w:t>
      </w:r>
    </w:p>
    <w:p w14:paraId="186A1800" w14:textId="77777777" w:rsidR="003D4968" w:rsidRPr="00F101DF" w:rsidRDefault="003D4968" w:rsidP="001C34ED">
      <w:pPr>
        <w:jc w:val="both"/>
        <w:rPr>
          <w:bCs/>
          <w:iCs/>
          <w:color w:val="FF0000"/>
        </w:rPr>
      </w:pPr>
    </w:p>
    <w:p w14:paraId="0C216F8D" w14:textId="27D63802" w:rsidR="002A3544" w:rsidRPr="00802BBA" w:rsidRDefault="002A3544" w:rsidP="001C34ED">
      <w:pPr>
        <w:jc w:val="both"/>
        <w:rPr>
          <w:bCs/>
          <w:iCs/>
        </w:rPr>
      </w:pPr>
      <w:r w:rsidRPr="00802BBA">
        <w:rPr>
          <w:b/>
          <w:iCs/>
        </w:rPr>
        <w:t xml:space="preserve">Standard deduction versus itemizing. </w:t>
      </w:r>
      <w:r w:rsidRPr="00802BBA">
        <w:rPr>
          <w:bCs/>
          <w:iCs/>
        </w:rPr>
        <w:t xml:space="preserve">Many </w:t>
      </w:r>
      <w:r w:rsidR="000D216E" w:rsidRPr="00802BBA">
        <w:rPr>
          <w:bCs/>
          <w:iCs/>
        </w:rPr>
        <w:t>taxpayer</w:t>
      </w:r>
      <w:r w:rsidR="00EC48F1">
        <w:rPr>
          <w:bCs/>
          <w:iCs/>
        </w:rPr>
        <w:t>s</w:t>
      </w:r>
      <w:r w:rsidR="000D216E" w:rsidRPr="00802BBA">
        <w:rPr>
          <w:bCs/>
          <w:iCs/>
        </w:rPr>
        <w:t xml:space="preserve"> </w:t>
      </w:r>
      <w:r w:rsidRPr="00802BBA">
        <w:rPr>
          <w:bCs/>
          <w:iCs/>
        </w:rPr>
        <w:t xml:space="preserve">can no longer itemize </w:t>
      </w:r>
      <w:r w:rsidR="000D216E" w:rsidRPr="00802BBA">
        <w:rPr>
          <w:bCs/>
          <w:iCs/>
        </w:rPr>
        <w:t xml:space="preserve">their </w:t>
      </w:r>
      <w:r w:rsidRPr="00802BBA">
        <w:rPr>
          <w:bCs/>
          <w:iCs/>
        </w:rPr>
        <w:t>deductions because of the high basic standard deduction. For 202</w:t>
      </w:r>
      <w:r w:rsidR="00630713">
        <w:rPr>
          <w:bCs/>
          <w:iCs/>
        </w:rPr>
        <w:t>2</w:t>
      </w:r>
      <w:r w:rsidRPr="00802BBA">
        <w:rPr>
          <w:bCs/>
          <w:iCs/>
        </w:rPr>
        <w:t>, this amount is $12,</w:t>
      </w:r>
      <w:r w:rsidR="00630713">
        <w:rPr>
          <w:bCs/>
          <w:iCs/>
        </w:rPr>
        <w:t>9</w:t>
      </w:r>
      <w:r w:rsidRPr="00802BBA">
        <w:rPr>
          <w:bCs/>
          <w:iCs/>
        </w:rPr>
        <w:t>50 for singles or married taxpayer filing separate, $25,</w:t>
      </w:r>
      <w:r w:rsidR="00305EF4">
        <w:rPr>
          <w:bCs/>
          <w:iCs/>
        </w:rPr>
        <w:t>9</w:t>
      </w:r>
      <w:r w:rsidRPr="00802BBA">
        <w:rPr>
          <w:bCs/>
          <w:iCs/>
        </w:rPr>
        <w:t>00 for married taxpayers, or $1</w:t>
      </w:r>
      <w:r w:rsidR="00630713">
        <w:rPr>
          <w:bCs/>
          <w:iCs/>
        </w:rPr>
        <w:t>9</w:t>
      </w:r>
      <w:r w:rsidRPr="00802BBA">
        <w:rPr>
          <w:bCs/>
          <w:iCs/>
        </w:rPr>
        <w:t>,</w:t>
      </w:r>
      <w:r w:rsidR="00630713">
        <w:rPr>
          <w:bCs/>
          <w:iCs/>
        </w:rPr>
        <w:t>4</w:t>
      </w:r>
      <w:r w:rsidRPr="00802BBA">
        <w:rPr>
          <w:bCs/>
          <w:iCs/>
        </w:rPr>
        <w:t xml:space="preserve">00 if you qualify as head of household. </w:t>
      </w:r>
      <w:r w:rsidR="00423B44">
        <w:rPr>
          <w:bCs/>
          <w:iCs/>
        </w:rPr>
        <w:t>You are entitled to an additional $1,400 of you</w:t>
      </w:r>
      <w:r w:rsidR="00C402DF">
        <w:rPr>
          <w:bCs/>
          <w:iCs/>
        </w:rPr>
        <w:t xml:space="preserve"> are over age 65 and/or blind. </w:t>
      </w:r>
      <w:r w:rsidRPr="00802BBA">
        <w:rPr>
          <w:bCs/>
          <w:iCs/>
        </w:rPr>
        <w:t>Th</w:t>
      </w:r>
      <w:r w:rsidR="00C402DF">
        <w:rPr>
          <w:bCs/>
          <w:iCs/>
        </w:rPr>
        <w:t>e standard  d</w:t>
      </w:r>
      <w:r w:rsidRPr="00802BBA">
        <w:rPr>
          <w:bCs/>
          <w:iCs/>
        </w:rPr>
        <w:t>eduction along with the elimination of many deductions</w:t>
      </w:r>
      <w:r w:rsidR="00F60D05">
        <w:rPr>
          <w:bCs/>
          <w:iCs/>
        </w:rPr>
        <w:t xml:space="preserve"> previously deducted as an itemized deductions</w:t>
      </w:r>
      <w:r w:rsidRPr="00802BBA">
        <w:rPr>
          <w:bCs/>
          <w:iCs/>
        </w:rPr>
        <w:t xml:space="preserve"> presents an opportunity for some careful planning.</w:t>
      </w:r>
    </w:p>
    <w:p w14:paraId="7C4FE494" w14:textId="77777777" w:rsidR="000D216E" w:rsidRPr="00802BBA" w:rsidRDefault="000D216E" w:rsidP="001C34ED">
      <w:pPr>
        <w:jc w:val="both"/>
        <w:rPr>
          <w:bCs/>
          <w:iCs/>
        </w:rPr>
      </w:pPr>
    </w:p>
    <w:p w14:paraId="0444B6DF" w14:textId="2805A9CD" w:rsidR="002A3544" w:rsidRPr="00802BBA" w:rsidRDefault="002A3544" w:rsidP="001C34ED">
      <w:pPr>
        <w:jc w:val="both"/>
        <w:rPr>
          <w:bCs/>
          <w:iCs/>
        </w:rPr>
      </w:pPr>
      <w:r w:rsidRPr="00802BBA">
        <w:rPr>
          <w:bCs/>
          <w:iCs/>
        </w:rPr>
        <w:t>Consider bunching your deductions every other year. This can include making charitable contributions and paying medical expenses in years where you can exceed the standard deduction.</w:t>
      </w:r>
    </w:p>
    <w:p w14:paraId="75C02E0C" w14:textId="77777777" w:rsidR="00EE510D" w:rsidRPr="00F101DF" w:rsidRDefault="00EE510D" w:rsidP="001C34ED">
      <w:pPr>
        <w:pBdr>
          <w:bottom w:val="single" w:sz="12" w:space="7" w:color="auto"/>
        </w:pBdr>
        <w:jc w:val="both"/>
        <w:rPr>
          <w:color w:val="FF0000"/>
        </w:rPr>
      </w:pPr>
    </w:p>
    <w:p w14:paraId="4FBCA87C" w14:textId="77777777" w:rsidR="00E44338" w:rsidRDefault="00EE510D" w:rsidP="001C34ED">
      <w:pPr>
        <w:pBdr>
          <w:bottom w:val="single" w:sz="12" w:space="7" w:color="auto"/>
        </w:pBdr>
        <w:jc w:val="both"/>
      </w:pPr>
      <w:r w:rsidRPr="006B049E">
        <w:rPr>
          <w:b/>
          <w:bCs/>
        </w:rPr>
        <w:t>Disaster losses.</w:t>
      </w:r>
      <w:r w:rsidRPr="006B049E">
        <w:t xml:space="preserve"> If you were in federally declared disaster area, </w:t>
      </w:r>
      <w:r w:rsidR="003E03A1">
        <w:t xml:space="preserve">and there were a lot of them in 2022, </w:t>
      </w:r>
      <w:r w:rsidRPr="006B049E">
        <w:t xml:space="preserve">and you suffered uninsured or unreimbursed disaster-related losses, you can choose to claim </w:t>
      </w:r>
      <w:r w:rsidR="00D3776B">
        <w:t>the loss</w:t>
      </w:r>
      <w:r w:rsidRPr="006B049E">
        <w:t xml:space="preserve"> either on the return for the year the loss occurred (in this instance, the 202</w:t>
      </w:r>
      <w:r w:rsidR="006B049E" w:rsidRPr="006B049E">
        <w:t>2</w:t>
      </w:r>
      <w:r w:rsidRPr="006B049E">
        <w:t xml:space="preserve"> return), or on the return for the prior year (202</w:t>
      </w:r>
      <w:r w:rsidR="006B049E" w:rsidRPr="006B049E">
        <w:t>1</w:t>
      </w:r>
      <w:r w:rsidRPr="006B049E">
        <w:t>), generating a quicker refund.</w:t>
      </w:r>
      <w:r w:rsidR="0012497B">
        <w:t xml:space="preserve">  Remember, you have three years from the due date of your return to file a claim for refund. </w:t>
      </w:r>
    </w:p>
    <w:p w14:paraId="1F8D23F2" w14:textId="77777777" w:rsidR="00F60D05" w:rsidRDefault="00F60D05" w:rsidP="001C34ED">
      <w:pPr>
        <w:pBdr>
          <w:bottom w:val="single" w:sz="12" w:space="7" w:color="auto"/>
        </w:pBdr>
        <w:jc w:val="both"/>
      </w:pPr>
    </w:p>
    <w:p w14:paraId="77861AE6" w14:textId="0D7EACED" w:rsidR="00271105" w:rsidRDefault="00271105" w:rsidP="001C34ED">
      <w:pPr>
        <w:pBdr>
          <w:bottom w:val="single" w:sz="12" w:space="7" w:color="auto"/>
        </w:pBdr>
        <w:jc w:val="both"/>
        <w:rPr>
          <w:bCs/>
          <w:iCs/>
        </w:rPr>
      </w:pPr>
      <w:r w:rsidRPr="00FF45F0">
        <w:rPr>
          <w:b/>
          <w:iCs/>
        </w:rPr>
        <w:t xml:space="preserve">IRA contributions. </w:t>
      </w:r>
      <w:r w:rsidRPr="00FF45F0">
        <w:rPr>
          <w:bCs/>
          <w:iCs/>
        </w:rPr>
        <w:t xml:space="preserve">If you are considering making an IRA contribution for 2022, you have until April 15, 2023. For 2022, you can contribute up to $6,000 or $7,000 if you are age 50 or older. Income limits apply if you or your spouse are covered by an employer provided retirement plan. </w:t>
      </w:r>
    </w:p>
    <w:p w14:paraId="5A88DA79" w14:textId="77777777" w:rsidR="00E44338" w:rsidRPr="00FF45F0" w:rsidRDefault="00E44338" w:rsidP="001C34ED">
      <w:pPr>
        <w:pBdr>
          <w:bottom w:val="single" w:sz="12" w:space="7" w:color="auto"/>
        </w:pBdr>
        <w:jc w:val="both"/>
        <w:rPr>
          <w:bCs/>
          <w:iCs/>
        </w:rPr>
      </w:pPr>
    </w:p>
    <w:p w14:paraId="792DD786" w14:textId="339B0AD7" w:rsidR="00B85C41" w:rsidRPr="00A91B5C" w:rsidRDefault="00025981" w:rsidP="001C34ED">
      <w:pPr>
        <w:pBdr>
          <w:bottom w:val="single" w:sz="12" w:space="7" w:color="auto"/>
        </w:pBdr>
        <w:jc w:val="both"/>
      </w:pPr>
      <w:r w:rsidRPr="00A91B5C">
        <w:rPr>
          <w:b/>
          <w:bCs/>
        </w:rPr>
        <w:t>Health savings accounts.</w:t>
      </w:r>
      <w:r w:rsidRPr="00A91B5C">
        <w:t xml:space="preserve"> If you become eligible in December of 202</w:t>
      </w:r>
      <w:r w:rsidR="00055354" w:rsidRPr="00A91B5C">
        <w:t>2</w:t>
      </w:r>
      <w:r w:rsidRPr="00A91B5C">
        <w:t xml:space="preserve"> to make health savings account (HSA) contributions, you can make a full year</w:t>
      </w:r>
      <w:r w:rsidR="0036199A" w:rsidRPr="00A91B5C">
        <w:t>’</w:t>
      </w:r>
      <w:r w:rsidRPr="00A91B5C">
        <w:t xml:space="preserve">s </w:t>
      </w:r>
      <w:r w:rsidRPr="00A91B5C">
        <w:t>worth of deductible HSA contributions for 202</w:t>
      </w:r>
      <w:r w:rsidR="00055354" w:rsidRPr="00A91B5C">
        <w:t>2</w:t>
      </w:r>
      <w:r w:rsidR="00430D0A" w:rsidRPr="00A91B5C">
        <w:t xml:space="preserve"> provided you make them by April 1</w:t>
      </w:r>
      <w:r w:rsidR="00EC50C2" w:rsidRPr="00A91B5C">
        <w:t>5, 202</w:t>
      </w:r>
      <w:r w:rsidR="00055354" w:rsidRPr="00A91B5C">
        <w:t>3</w:t>
      </w:r>
      <w:r w:rsidRPr="00A91B5C">
        <w:t>.</w:t>
      </w:r>
      <w:r w:rsidR="0036199A" w:rsidRPr="00A91B5C">
        <w:t xml:space="preserve"> For 202</w:t>
      </w:r>
      <w:r w:rsidR="00055354" w:rsidRPr="00A91B5C">
        <w:t>2</w:t>
      </w:r>
      <w:r w:rsidR="0036199A" w:rsidRPr="00A91B5C">
        <w:t>, the maximum contribution you can make is</w:t>
      </w:r>
      <w:r w:rsidR="00C00F94" w:rsidRPr="00A91B5C">
        <w:t xml:space="preserve"> $3,6</w:t>
      </w:r>
      <w:r w:rsidR="00393989">
        <w:t>50</w:t>
      </w:r>
      <w:r w:rsidR="00C00F94" w:rsidRPr="00A91B5C">
        <w:t xml:space="preserve"> for self-only coverage, and $7,</w:t>
      </w:r>
      <w:r w:rsidR="00393989">
        <w:t>3</w:t>
      </w:r>
      <w:r w:rsidR="00C00F94" w:rsidRPr="00A91B5C">
        <w:t>00 for family coverage.</w:t>
      </w:r>
      <w:r w:rsidR="00B85C41" w:rsidRPr="00A91B5C">
        <w:t xml:space="preserve"> </w:t>
      </w:r>
      <w:r w:rsidR="009C2077" w:rsidRPr="00A91B5C">
        <w:t>You can contribute an additional $1,000 if you are over age 50.</w:t>
      </w:r>
    </w:p>
    <w:p w14:paraId="42D89A63" w14:textId="77777777" w:rsidR="00B85C41" w:rsidRPr="00A91B5C" w:rsidRDefault="00B85C41" w:rsidP="001C34ED">
      <w:pPr>
        <w:pBdr>
          <w:bottom w:val="single" w:sz="12" w:space="7" w:color="auto"/>
        </w:pBdr>
        <w:jc w:val="both"/>
      </w:pPr>
    </w:p>
    <w:p w14:paraId="769D172D" w14:textId="77777777" w:rsidR="00C96D99" w:rsidRPr="00A91B5C" w:rsidRDefault="00B85C41" w:rsidP="001C34ED">
      <w:pPr>
        <w:pBdr>
          <w:bottom w:val="single" w:sz="12" w:space="7" w:color="auto"/>
        </w:pBdr>
        <w:jc w:val="both"/>
      </w:pPr>
      <w:r w:rsidRPr="00A91B5C">
        <w:t>You are eligible to make contributions into a health savings account if you are covered under a high deductible health plan.</w:t>
      </w:r>
    </w:p>
    <w:p w14:paraId="1FE8D52E" w14:textId="77777777" w:rsidR="00C96D99" w:rsidRPr="00F101DF" w:rsidRDefault="00C96D99" w:rsidP="001C34ED">
      <w:pPr>
        <w:pBdr>
          <w:bottom w:val="single" w:sz="12" w:space="7" w:color="auto"/>
        </w:pBdr>
        <w:jc w:val="both"/>
        <w:rPr>
          <w:color w:val="FF0000"/>
        </w:rPr>
      </w:pPr>
    </w:p>
    <w:p w14:paraId="2AD3184A" w14:textId="3398C63C" w:rsidR="00334264" w:rsidRDefault="00334264" w:rsidP="001C34ED">
      <w:pPr>
        <w:pBdr>
          <w:bottom w:val="single" w:sz="12" w:space="7" w:color="auto"/>
        </w:pBdr>
        <w:jc w:val="both"/>
      </w:pPr>
      <w:r w:rsidRPr="004C3B10">
        <w:rPr>
          <w:b/>
          <w:bCs/>
        </w:rPr>
        <w:t>Maximize your retirement plan contributions.</w:t>
      </w:r>
      <w:r w:rsidRPr="004C3B10">
        <w:t xml:space="preserve"> If you participate in your employer’s </w:t>
      </w:r>
      <w:r w:rsidR="00916AB6" w:rsidRPr="004C3B10">
        <w:t>401(k) plan, now is the time to review the contributions you made for 202</w:t>
      </w:r>
      <w:r w:rsidR="00923609" w:rsidRPr="004C3B10">
        <w:t>2</w:t>
      </w:r>
      <w:r w:rsidR="00916AB6" w:rsidRPr="004C3B10">
        <w:t xml:space="preserve">. This is one of the most important tax deductions available. </w:t>
      </w:r>
      <w:r w:rsidR="001C2363" w:rsidRPr="004C3B10">
        <w:t xml:space="preserve">Not only do </w:t>
      </w:r>
      <w:r w:rsidR="005E07E3" w:rsidRPr="004C3B10">
        <w:t xml:space="preserve">your </w:t>
      </w:r>
      <w:r w:rsidR="001C2363" w:rsidRPr="004C3B10">
        <w:t>contributions grow tax-free</w:t>
      </w:r>
      <w:r w:rsidR="005E07E3" w:rsidRPr="004C3B10">
        <w:t>,</w:t>
      </w:r>
      <w:r w:rsidR="001C2363" w:rsidRPr="004C3B10">
        <w:t xml:space="preserve"> </w:t>
      </w:r>
      <w:r w:rsidR="002C6504" w:rsidRPr="004C3B10">
        <w:t>but you are also</w:t>
      </w:r>
      <w:r w:rsidR="001C2363" w:rsidRPr="004C3B10">
        <w:t xml:space="preserve"> allowed to contribute on a pre-tax basis. </w:t>
      </w:r>
      <w:r w:rsidR="005E07E3" w:rsidRPr="004C3B10">
        <w:t xml:space="preserve">In many cases, your employer will </w:t>
      </w:r>
      <w:r w:rsidR="00C24ADB" w:rsidRPr="004C3B10">
        <w:t>match your contribution up to a certain percentage.</w:t>
      </w:r>
      <w:r w:rsidR="00916AB6" w:rsidRPr="004C3B10">
        <w:t xml:space="preserve"> The maximum 401(k) contribution allowed for 202</w:t>
      </w:r>
      <w:r w:rsidR="00923609" w:rsidRPr="004C3B10">
        <w:t>2</w:t>
      </w:r>
      <w:r w:rsidR="00916AB6" w:rsidRPr="004C3B10">
        <w:t xml:space="preserve"> is $</w:t>
      </w:r>
      <w:r w:rsidR="00D97814" w:rsidRPr="004C3B10">
        <w:t>20</w:t>
      </w:r>
      <w:r w:rsidR="00916AB6" w:rsidRPr="004C3B10">
        <w:t>,500 (or $2</w:t>
      </w:r>
      <w:r w:rsidR="004C3B10" w:rsidRPr="004C3B10">
        <w:t>7</w:t>
      </w:r>
      <w:r w:rsidR="00916AB6" w:rsidRPr="004C3B10">
        <w:t>,000 if you are 50 or over).</w:t>
      </w:r>
    </w:p>
    <w:p w14:paraId="22BDE9B1" w14:textId="77777777" w:rsidR="005F1DA5" w:rsidRDefault="005F1DA5" w:rsidP="001C34ED">
      <w:pPr>
        <w:pBdr>
          <w:bottom w:val="single" w:sz="12" w:space="7" w:color="auto"/>
        </w:pBdr>
        <w:jc w:val="both"/>
      </w:pPr>
    </w:p>
    <w:p w14:paraId="22E0D1D7" w14:textId="321952AC" w:rsidR="005F1DA5" w:rsidRDefault="006C2AB0" w:rsidP="001C34ED">
      <w:pPr>
        <w:pBdr>
          <w:bottom w:val="single" w:sz="12" w:space="7" w:color="auto"/>
        </w:pBdr>
        <w:jc w:val="both"/>
      </w:pPr>
      <w:r w:rsidRPr="006C2AB0">
        <w:rPr>
          <w:b/>
          <w:bCs/>
        </w:rPr>
        <w:t>Charitable giving</w:t>
      </w:r>
      <w:r>
        <w:t xml:space="preserve">. </w:t>
      </w:r>
      <w:r w:rsidRPr="006C2AB0">
        <w:t>If you are age 7</w:t>
      </w:r>
      <w:r>
        <w:t>2</w:t>
      </w:r>
      <w:r w:rsidRPr="006C2AB0">
        <w:t xml:space="preserve"> or older by the end of 202</w:t>
      </w:r>
      <w:r>
        <w:t>2</w:t>
      </w:r>
      <w:r w:rsidRPr="006C2AB0">
        <w:t>, have traditional IRAs, and especially if you are unable to itemize your deductions, consider making 202</w:t>
      </w:r>
      <w:r>
        <w:t>2</w:t>
      </w:r>
      <w:r w:rsidRPr="006C2AB0">
        <w:t xml:space="preserve"> charitable donations via qualified charitable distributions from your </w:t>
      </w:r>
      <w:r>
        <w:t>IRA(</w:t>
      </w:r>
      <w:r w:rsidRPr="006C2AB0">
        <w:t>s</w:t>
      </w:r>
      <w:r>
        <w:t>)</w:t>
      </w:r>
      <w:r w:rsidRPr="006C2AB0">
        <w:t xml:space="preserve">. These distributions are made directly to charities from your </w:t>
      </w:r>
      <w:r w:rsidR="007D662F">
        <w:t>IRA. T</w:t>
      </w:r>
      <w:r w:rsidRPr="006C2AB0">
        <w:t xml:space="preserve">he amount of the contribution is neither included in your gross income nor deductible on Schedule A, Form 1040. However, you are still entitled to claim the entire standard deduction. </w:t>
      </w:r>
    </w:p>
    <w:p w14:paraId="037A5368" w14:textId="77777777" w:rsidR="0096074E" w:rsidRDefault="0096074E" w:rsidP="001C34ED">
      <w:pPr>
        <w:pBdr>
          <w:bottom w:val="single" w:sz="12" w:space="7" w:color="auto"/>
        </w:pBdr>
        <w:jc w:val="both"/>
      </w:pPr>
    </w:p>
    <w:p w14:paraId="1CF5D7A1" w14:textId="2C5F9A36" w:rsidR="0096074E" w:rsidRPr="004C3B10" w:rsidRDefault="0096074E" w:rsidP="001C34ED">
      <w:pPr>
        <w:pBdr>
          <w:bottom w:val="single" w:sz="12" w:space="7" w:color="auto"/>
        </w:pBdr>
        <w:jc w:val="both"/>
      </w:pPr>
      <w:r>
        <w:t>These contributions are made via a direct transfer from your IRA to the charity. The limit is $100,000</w:t>
      </w:r>
      <w:r w:rsidR="00556FB0">
        <w:t xml:space="preserve"> per year</w:t>
      </w:r>
      <w:r w:rsidR="003303DC">
        <w:t xml:space="preserve"> </w:t>
      </w:r>
      <w:r>
        <w:t xml:space="preserve">. </w:t>
      </w:r>
    </w:p>
    <w:p w14:paraId="3BF3D287" w14:textId="77777777" w:rsidR="003F1237" w:rsidRPr="00A3106E" w:rsidRDefault="003F1237" w:rsidP="001C34ED">
      <w:pPr>
        <w:jc w:val="both"/>
      </w:pPr>
    </w:p>
    <w:p w14:paraId="13E048EE" w14:textId="77777777" w:rsidR="003F1237" w:rsidRPr="00E23F77" w:rsidRDefault="003F1237" w:rsidP="001C34ED">
      <w:pPr>
        <w:jc w:val="center"/>
        <w:rPr>
          <w:sz w:val="22"/>
        </w:rPr>
      </w:pPr>
      <w:r w:rsidRPr="001C34ED">
        <w:rPr>
          <w:szCs w:val="28"/>
        </w:rPr>
        <w:t>PRIVACY</w:t>
      </w:r>
      <w:r w:rsidRPr="001C34ED">
        <w:rPr>
          <w:sz w:val="32"/>
          <w:szCs w:val="36"/>
        </w:rPr>
        <w:t xml:space="preserve"> </w:t>
      </w:r>
      <w:r w:rsidRPr="001C34ED">
        <w:rPr>
          <w:szCs w:val="28"/>
        </w:rPr>
        <w:t>POLICY</w:t>
      </w:r>
    </w:p>
    <w:p w14:paraId="1E5A9BAB" w14:textId="77777777" w:rsidR="003F1237" w:rsidRPr="00E23F77" w:rsidRDefault="003F1237" w:rsidP="001C34ED">
      <w:pPr>
        <w:jc w:val="both"/>
      </w:pPr>
    </w:p>
    <w:p w14:paraId="1512B45C" w14:textId="06F9CD23" w:rsidR="00D11824" w:rsidRDefault="003F1237" w:rsidP="001C34ED">
      <w:pPr>
        <w:jc w:val="both"/>
      </w:pPr>
      <w:r w:rsidRPr="00E23F77">
        <w:t>We do not disclose any non-public personal information about our clients or former clients to anyone, except as instructed to do so by such clients, or required by law. We restrict access to non-public personal information</w:t>
      </w:r>
      <w:r w:rsidR="004704A0">
        <w:t>,</w:t>
      </w:r>
      <w:r w:rsidRPr="00E23F77">
        <w:t xml:space="preserve"> and we maintain physical, electronic, and procedural safeguards to guard your personal non-public information.</w:t>
      </w:r>
    </w:p>
    <w:sectPr w:rsidR="00D11824" w:rsidSect="00BD6AB6">
      <w:headerReference w:type="first" r:id="rId8"/>
      <w:pgSz w:w="12240" w:h="15840"/>
      <w:pgMar w:top="1440" w:right="720" w:bottom="1440" w:left="720" w:header="720" w:footer="720" w:gutter="0"/>
      <w:cols w:num="2" w:space="720" w:equalWidth="0">
        <w:col w:w="5040" w:space="720"/>
        <w:col w:w="50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4EE4" w14:textId="77777777" w:rsidR="00EE62CE" w:rsidRDefault="00EE62CE">
      <w:r>
        <w:separator/>
      </w:r>
    </w:p>
  </w:endnote>
  <w:endnote w:type="continuationSeparator" w:id="0">
    <w:p w14:paraId="0B59727C" w14:textId="77777777" w:rsidR="00EE62CE" w:rsidRDefault="00EE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6678" w14:textId="77777777" w:rsidR="00EE62CE" w:rsidRDefault="00EE62CE">
      <w:r>
        <w:separator/>
      </w:r>
    </w:p>
  </w:footnote>
  <w:footnote w:type="continuationSeparator" w:id="0">
    <w:p w14:paraId="48C78EBF" w14:textId="77777777" w:rsidR="00EE62CE" w:rsidRDefault="00EE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9826" w14:textId="4044CD81" w:rsidR="0054427E" w:rsidRDefault="00100C4A">
    <w:pPr>
      <w:pBdr>
        <w:bottom w:val="single" w:sz="12" w:space="1" w:color="auto"/>
      </w:pBdr>
      <w:jc w:val="center"/>
      <w:rPr>
        <w:b/>
        <w:sz w:val="56"/>
        <w:szCs w:val="56"/>
      </w:rPr>
    </w:pPr>
    <w:r>
      <w:rPr>
        <w:b/>
        <w:sz w:val="56"/>
        <w:szCs w:val="56"/>
      </w:rPr>
      <w:t>Gassner &amp; Associates, LLC</w:t>
    </w:r>
  </w:p>
  <w:p w14:paraId="2A8CA96D" w14:textId="2D77CF3F" w:rsidR="00100C4A" w:rsidRPr="00100C4A" w:rsidRDefault="00100C4A">
    <w:pPr>
      <w:pBdr>
        <w:bottom w:val="single" w:sz="12" w:space="1" w:color="auto"/>
      </w:pBdr>
      <w:jc w:val="center"/>
      <w:rPr>
        <w:b/>
        <w:sz w:val="40"/>
        <w:szCs w:val="40"/>
      </w:rPr>
    </w:pPr>
    <w:r w:rsidRPr="00100C4A">
      <w:rPr>
        <w:b/>
        <w:sz w:val="40"/>
        <w:szCs w:val="40"/>
      </w:rPr>
      <w:t>7005 Hwy 51</w:t>
    </w:r>
  </w:p>
  <w:p w14:paraId="6856799A" w14:textId="7180010A" w:rsidR="00100C4A" w:rsidRPr="00100C4A" w:rsidRDefault="00100C4A">
    <w:pPr>
      <w:pBdr>
        <w:bottom w:val="single" w:sz="12" w:space="1" w:color="auto"/>
      </w:pBdr>
      <w:jc w:val="center"/>
      <w:rPr>
        <w:b/>
        <w:sz w:val="40"/>
        <w:szCs w:val="40"/>
      </w:rPr>
    </w:pPr>
    <w:proofErr w:type="spellStart"/>
    <w:r w:rsidRPr="00100C4A">
      <w:rPr>
        <w:b/>
        <w:sz w:val="40"/>
        <w:szCs w:val="40"/>
      </w:rPr>
      <w:t>Hazelhurst</w:t>
    </w:r>
    <w:proofErr w:type="spellEnd"/>
    <w:r w:rsidRPr="00100C4A">
      <w:rPr>
        <w:b/>
        <w:sz w:val="40"/>
        <w:szCs w:val="40"/>
      </w:rPr>
      <w:t>, WI 54531</w:t>
    </w:r>
  </w:p>
  <w:p w14:paraId="56B4C349" w14:textId="608F8B9F" w:rsidR="00100C4A" w:rsidRPr="00100C4A" w:rsidRDefault="00100C4A">
    <w:pPr>
      <w:pBdr>
        <w:bottom w:val="single" w:sz="12" w:space="1" w:color="auto"/>
      </w:pBdr>
      <w:jc w:val="center"/>
      <w:rPr>
        <w:b/>
        <w:sz w:val="40"/>
        <w:szCs w:val="40"/>
      </w:rPr>
    </w:pPr>
    <w:r w:rsidRPr="00100C4A">
      <w:rPr>
        <w:b/>
        <w:sz w:val="40"/>
        <w:szCs w:val="40"/>
      </w:rPr>
      <w:t>Tel: 715-356-6419</w:t>
    </w:r>
  </w:p>
  <w:p w14:paraId="7DEC39C9" w14:textId="68977A32" w:rsidR="00100C4A" w:rsidRPr="00100C4A" w:rsidRDefault="00100C4A">
    <w:pPr>
      <w:pBdr>
        <w:bottom w:val="single" w:sz="12" w:space="1" w:color="auto"/>
      </w:pBdr>
      <w:jc w:val="center"/>
      <w:rPr>
        <w:b/>
        <w:sz w:val="40"/>
        <w:szCs w:val="40"/>
      </w:rPr>
    </w:pPr>
    <w:r w:rsidRPr="00100C4A">
      <w:rPr>
        <w:b/>
        <w:sz w:val="40"/>
        <w:szCs w:val="40"/>
      </w:rPr>
      <w:t>Fax: 715-356-1798</w:t>
    </w:r>
  </w:p>
  <w:p w14:paraId="6CEAA943" w14:textId="77777777" w:rsidR="0054427E" w:rsidRDefault="0054427E">
    <w:pPr>
      <w:pBdr>
        <w:bottom w:val="single" w:sz="12" w:space="1" w:color="auto"/>
      </w:pBdr>
      <w:jc w:val="center"/>
      <w:rPr>
        <w:b/>
      </w:rPr>
    </w:pPr>
    <w:r>
      <w:rPr>
        <w:b/>
      </w:rPr>
      <w:t>__________________________________________________________________________________________</w:t>
    </w:r>
  </w:p>
  <w:p w14:paraId="016C692D" w14:textId="77777777" w:rsidR="0054427E" w:rsidRDefault="0054427E">
    <w:pPr>
      <w:pBdr>
        <w:bottom w:val="single" w:sz="12" w:space="1" w:color="auto"/>
      </w:pBdr>
      <w:jc w:val="center"/>
      <w:rPr>
        <w:b/>
      </w:rPr>
    </w:pPr>
  </w:p>
  <w:p w14:paraId="370BA450" w14:textId="01D88777" w:rsidR="0054427E" w:rsidRDefault="0054427E">
    <w:pPr>
      <w:pBdr>
        <w:bottom w:val="single" w:sz="12" w:space="1" w:color="auto"/>
      </w:pBdr>
      <w:jc w:val="center"/>
      <w:rPr>
        <w:b/>
      </w:rPr>
    </w:pPr>
    <w:r>
      <w:rPr>
        <w:b/>
        <w:sz w:val="56"/>
        <w:szCs w:val="56"/>
      </w:rPr>
      <w:t>20</w:t>
    </w:r>
    <w:r w:rsidR="004704A0">
      <w:rPr>
        <w:b/>
        <w:sz w:val="56"/>
        <w:szCs w:val="56"/>
      </w:rPr>
      <w:t>2</w:t>
    </w:r>
    <w:r w:rsidR="00F101DF">
      <w:rPr>
        <w:b/>
        <w:sz w:val="56"/>
        <w:szCs w:val="56"/>
      </w:rPr>
      <w:t>2</w:t>
    </w:r>
    <w:r>
      <w:rPr>
        <w:b/>
        <w:sz w:val="56"/>
        <w:szCs w:val="56"/>
      </w:rPr>
      <w:t xml:space="preserve"> TAX PLANNING &amp; TIPS</w:t>
    </w:r>
  </w:p>
  <w:p w14:paraId="54AB570C" w14:textId="77777777" w:rsidR="0054427E" w:rsidRDefault="0054427E">
    <w:pPr>
      <w:pBdr>
        <w:bottom w:val="single" w:sz="12" w:space="1" w:color="auto"/>
      </w:pBdr>
      <w:jc w:val="center"/>
    </w:pPr>
  </w:p>
  <w:p w14:paraId="4C373F53" w14:textId="77777777" w:rsidR="0054427E" w:rsidRDefault="00544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F82"/>
    <w:multiLevelType w:val="hybridMultilevel"/>
    <w:tmpl w:val="9892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E85"/>
    <w:multiLevelType w:val="hybridMultilevel"/>
    <w:tmpl w:val="9C96B73C"/>
    <w:lvl w:ilvl="0" w:tplc="631E11A8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91751"/>
    <w:multiLevelType w:val="multilevel"/>
    <w:tmpl w:val="584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77A27"/>
    <w:multiLevelType w:val="hybridMultilevel"/>
    <w:tmpl w:val="0C7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DB0"/>
    <w:multiLevelType w:val="hybridMultilevel"/>
    <w:tmpl w:val="EE84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6E38"/>
    <w:multiLevelType w:val="hybridMultilevel"/>
    <w:tmpl w:val="473C314C"/>
    <w:lvl w:ilvl="0" w:tplc="C35643B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E4C58"/>
    <w:multiLevelType w:val="hybridMultilevel"/>
    <w:tmpl w:val="94F4FEFC"/>
    <w:lvl w:ilvl="0" w:tplc="3834AC24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8B546A"/>
    <w:multiLevelType w:val="hybridMultilevel"/>
    <w:tmpl w:val="4B2065CE"/>
    <w:lvl w:ilvl="0" w:tplc="F68E4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6CD4"/>
    <w:multiLevelType w:val="multilevel"/>
    <w:tmpl w:val="A6C6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7200C"/>
    <w:multiLevelType w:val="hybridMultilevel"/>
    <w:tmpl w:val="234A1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5D88"/>
    <w:multiLevelType w:val="hybridMultilevel"/>
    <w:tmpl w:val="A8B6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E89"/>
    <w:multiLevelType w:val="hybridMultilevel"/>
    <w:tmpl w:val="9C96B73C"/>
    <w:lvl w:ilvl="0" w:tplc="631E11A8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12B42"/>
    <w:multiLevelType w:val="multilevel"/>
    <w:tmpl w:val="950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345A16"/>
    <w:multiLevelType w:val="multilevel"/>
    <w:tmpl w:val="88B4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4508F"/>
    <w:multiLevelType w:val="multilevel"/>
    <w:tmpl w:val="7E6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C2E1A"/>
    <w:multiLevelType w:val="hybridMultilevel"/>
    <w:tmpl w:val="E0B29EF6"/>
    <w:lvl w:ilvl="0" w:tplc="A14C69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7D7FF7"/>
    <w:multiLevelType w:val="hybridMultilevel"/>
    <w:tmpl w:val="DB90D79C"/>
    <w:lvl w:ilvl="0" w:tplc="3684E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93CB8"/>
    <w:multiLevelType w:val="hybridMultilevel"/>
    <w:tmpl w:val="60D2BC90"/>
    <w:lvl w:ilvl="0" w:tplc="65480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5A8F"/>
    <w:multiLevelType w:val="hybridMultilevel"/>
    <w:tmpl w:val="08CAAF04"/>
    <w:lvl w:ilvl="0" w:tplc="0882C3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8122B"/>
    <w:multiLevelType w:val="hybridMultilevel"/>
    <w:tmpl w:val="86EEDEE6"/>
    <w:lvl w:ilvl="0" w:tplc="C8666B64">
      <w:start w:val="179"/>
      <w:numFmt w:val="bullet"/>
      <w:lvlText w:val="•"/>
      <w:lvlJc w:val="left"/>
      <w:pPr>
        <w:ind w:left="135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C089D"/>
    <w:multiLevelType w:val="multilevel"/>
    <w:tmpl w:val="538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F22C33"/>
    <w:multiLevelType w:val="multilevel"/>
    <w:tmpl w:val="9B0A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881E18"/>
    <w:multiLevelType w:val="multilevel"/>
    <w:tmpl w:val="090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B231C"/>
    <w:multiLevelType w:val="multilevel"/>
    <w:tmpl w:val="417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1E63E2"/>
    <w:multiLevelType w:val="multilevel"/>
    <w:tmpl w:val="666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F38D6"/>
    <w:multiLevelType w:val="hybridMultilevel"/>
    <w:tmpl w:val="688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D5734"/>
    <w:multiLevelType w:val="hybridMultilevel"/>
    <w:tmpl w:val="4424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8056E"/>
    <w:multiLevelType w:val="hybridMultilevel"/>
    <w:tmpl w:val="9C96B73C"/>
    <w:lvl w:ilvl="0" w:tplc="631E11A8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D5F26"/>
    <w:multiLevelType w:val="hybridMultilevel"/>
    <w:tmpl w:val="EFC01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83615"/>
    <w:multiLevelType w:val="multilevel"/>
    <w:tmpl w:val="225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53FCB"/>
    <w:multiLevelType w:val="hybridMultilevel"/>
    <w:tmpl w:val="E516FC26"/>
    <w:lvl w:ilvl="0" w:tplc="CE120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C6614"/>
    <w:multiLevelType w:val="multilevel"/>
    <w:tmpl w:val="CC8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940F1A"/>
    <w:multiLevelType w:val="multilevel"/>
    <w:tmpl w:val="17F2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47F12"/>
    <w:multiLevelType w:val="hybridMultilevel"/>
    <w:tmpl w:val="FCCC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C5662"/>
    <w:multiLevelType w:val="hybridMultilevel"/>
    <w:tmpl w:val="72D6ECA6"/>
    <w:lvl w:ilvl="0" w:tplc="51AA42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2322B"/>
    <w:multiLevelType w:val="multilevel"/>
    <w:tmpl w:val="A43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B77BE0"/>
    <w:multiLevelType w:val="hybridMultilevel"/>
    <w:tmpl w:val="C57217EE"/>
    <w:lvl w:ilvl="0" w:tplc="FAEE29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602AB"/>
    <w:multiLevelType w:val="hybridMultilevel"/>
    <w:tmpl w:val="7088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33756"/>
    <w:multiLevelType w:val="hybridMultilevel"/>
    <w:tmpl w:val="511A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19982">
    <w:abstractNumId w:val="34"/>
  </w:num>
  <w:num w:numId="2" w16cid:durableId="1015159123">
    <w:abstractNumId w:val="5"/>
  </w:num>
  <w:num w:numId="3" w16cid:durableId="647976485">
    <w:abstractNumId w:val="24"/>
  </w:num>
  <w:num w:numId="4" w16cid:durableId="1309289007">
    <w:abstractNumId w:val="22"/>
  </w:num>
  <w:num w:numId="5" w16cid:durableId="2120903348">
    <w:abstractNumId w:val="11"/>
  </w:num>
  <w:num w:numId="6" w16cid:durableId="2112696119">
    <w:abstractNumId w:val="6"/>
  </w:num>
  <w:num w:numId="7" w16cid:durableId="1377049349">
    <w:abstractNumId w:val="27"/>
  </w:num>
  <w:num w:numId="8" w16cid:durableId="690029079">
    <w:abstractNumId w:val="1"/>
  </w:num>
  <w:num w:numId="9" w16cid:durableId="17197787">
    <w:abstractNumId w:val="4"/>
  </w:num>
  <w:num w:numId="10" w16cid:durableId="927889761">
    <w:abstractNumId w:val="30"/>
  </w:num>
  <w:num w:numId="11" w16cid:durableId="1199901977">
    <w:abstractNumId w:val="32"/>
  </w:num>
  <w:num w:numId="12" w16cid:durableId="826284505">
    <w:abstractNumId w:val="36"/>
  </w:num>
  <w:num w:numId="13" w16cid:durableId="168755903">
    <w:abstractNumId w:val="17"/>
  </w:num>
  <w:num w:numId="14" w16cid:durableId="1398095080">
    <w:abstractNumId w:val="19"/>
  </w:num>
  <w:num w:numId="15" w16cid:durableId="1953397778">
    <w:abstractNumId w:val="9"/>
  </w:num>
  <w:num w:numId="16" w16cid:durableId="1970893035">
    <w:abstractNumId w:val="20"/>
  </w:num>
  <w:num w:numId="17" w16cid:durableId="431783479">
    <w:abstractNumId w:val="12"/>
  </w:num>
  <w:num w:numId="18" w16cid:durableId="240146235">
    <w:abstractNumId w:val="0"/>
  </w:num>
  <w:num w:numId="19" w16cid:durableId="391125301">
    <w:abstractNumId w:val="28"/>
  </w:num>
  <w:num w:numId="20" w16cid:durableId="942804518">
    <w:abstractNumId w:val="37"/>
  </w:num>
  <w:num w:numId="21" w16cid:durableId="184293825">
    <w:abstractNumId w:val="7"/>
  </w:num>
  <w:num w:numId="22" w16cid:durableId="2083018933">
    <w:abstractNumId w:val="15"/>
  </w:num>
  <w:num w:numId="23" w16cid:durableId="312754852">
    <w:abstractNumId w:val="18"/>
  </w:num>
  <w:num w:numId="24" w16cid:durableId="828862555">
    <w:abstractNumId w:val="23"/>
  </w:num>
  <w:num w:numId="25" w16cid:durableId="952859871">
    <w:abstractNumId w:val="8"/>
  </w:num>
  <w:num w:numId="26" w16cid:durableId="606734343">
    <w:abstractNumId w:val="35"/>
  </w:num>
  <w:num w:numId="27" w16cid:durableId="1514029535">
    <w:abstractNumId w:val="31"/>
  </w:num>
  <w:num w:numId="28" w16cid:durableId="49771757">
    <w:abstractNumId w:val="14"/>
  </w:num>
  <w:num w:numId="29" w16cid:durableId="1022903730">
    <w:abstractNumId w:val="2"/>
  </w:num>
  <w:num w:numId="30" w16cid:durableId="68700022">
    <w:abstractNumId w:val="21"/>
  </w:num>
  <w:num w:numId="31" w16cid:durableId="1630697576">
    <w:abstractNumId w:val="29"/>
  </w:num>
  <w:num w:numId="32" w16cid:durableId="1519655252">
    <w:abstractNumId w:val="16"/>
  </w:num>
  <w:num w:numId="33" w16cid:durableId="1848128147">
    <w:abstractNumId w:val="13"/>
  </w:num>
  <w:num w:numId="34" w16cid:durableId="867715676">
    <w:abstractNumId w:val="10"/>
  </w:num>
  <w:num w:numId="35" w16cid:durableId="654794741">
    <w:abstractNumId w:val="38"/>
  </w:num>
  <w:num w:numId="36" w16cid:durableId="1428579940">
    <w:abstractNumId w:val="26"/>
  </w:num>
  <w:num w:numId="37" w16cid:durableId="102115980">
    <w:abstractNumId w:val="33"/>
  </w:num>
  <w:num w:numId="38" w16cid:durableId="183830314">
    <w:abstractNumId w:val="3"/>
  </w:num>
  <w:num w:numId="39" w16cid:durableId="16805440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5E"/>
    <w:rsid w:val="000033BC"/>
    <w:rsid w:val="000059EF"/>
    <w:rsid w:val="00007352"/>
    <w:rsid w:val="00014B54"/>
    <w:rsid w:val="00017977"/>
    <w:rsid w:val="0002147E"/>
    <w:rsid w:val="00025981"/>
    <w:rsid w:val="00027F08"/>
    <w:rsid w:val="000312A4"/>
    <w:rsid w:val="00031D85"/>
    <w:rsid w:val="00032028"/>
    <w:rsid w:val="000371B7"/>
    <w:rsid w:val="000430A5"/>
    <w:rsid w:val="00051077"/>
    <w:rsid w:val="00051702"/>
    <w:rsid w:val="0005436E"/>
    <w:rsid w:val="00055354"/>
    <w:rsid w:val="0005693F"/>
    <w:rsid w:val="00056D11"/>
    <w:rsid w:val="00060BA3"/>
    <w:rsid w:val="00061AEF"/>
    <w:rsid w:val="00065434"/>
    <w:rsid w:val="00066957"/>
    <w:rsid w:val="000669E1"/>
    <w:rsid w:val="000678F7"/>
    <w:rsid w:val="00073B28"/>
    <w:rsid w:val="00074B11"/>
    <w:rsid w:val="0008071F"/>
    <w:rsid w:val="00082393"/>
    <w:rsid w:val="00082B2A"/>
    <w:rsid w:val="000944A1"/>
    <w:rsid w:val="0009460A"/>
    <w:rsid w:val="00096BAB"/>
    <w:rsid w:val="000A1CB4"/>
    <w:rsid w:val="000A216E"/>
    <w:rsid w:val="000A7EF0"/>
    <w:rsid w:val="000C1F39"/>
    <w:rsid w:val="000D216E"/>
    <w:rsid w:val="000D47D2"/>
    <w:rsid w:val="000E0822"/>
    <w:rsid w:val="000E3649"/>
    <w:rsid w:val="000E68A2"/>
    <w:rsid w:val="000F20E3"/>
    <w:rsid w:val="000F42D5"/>
    <w:rsid w:val="00100C4A"/>
    <w:rsid w:val="00105BC4"/>
    <w:rsid w:val="00114603"/>
    <w:rsid w:val="001150FC"/>
    <w:rsid w:val="00115555"/>
    <w:rsid w:val="001237C7"/>
    <w:rsid w:val="0012485F"/>
    <w:rsid w:val="0012497B"/>
    <w:rsid w:val="001271A5"/>
    <w:rsid w:val="00127BE2"/>
    <w:rsid w:val="00134139"/>
    <w:rsid w:val="00137879"/>
    <w:rsid w:val="001410A8"/>
    <w:rsid w:val="001455BF"/>
    <w:rsid w:val="00152834"/>
    <w:rsid w:val="00153CB2"/>
    <w:rsid w:val="0016451B"/>
    <w:rsid w:val="001667B2"/>
    <w:rsid w:val="00173886"/>
    <w:rsid w:val="001754AB"/>
    <w:rsid w:val="00175CF8"/>
    <w:rsid w:val="00185FE2"/>
    <w:rsid w:val="001B0A69"/>
    <w:rsid w:val="001C2363"/>
    <w:rsid w:val="001C2973"/>
    <w:rsid w:val="001C34ED"/>
    <w:rsid w:val="001C49DB"/>
    <w:rsid w:val="001D2DF0"/>
    <w:rsid w:val="001D412B"/>
    <w:rsid w:val="001D5D00"/>
    <w:rsid w:val="001D6799"/>
    <w:rsid w:val="001D7FB2"/>
    <w:rsid w:val="001E02E9"/>
    <w:rsid w:val="001E4614"/>
    <w:rsid w:val="001E713B"/>
    <w:rsid w:val="001F77FA"/>
    <w:rsid w:val="002023B1"/>
    <w:rsid w:val="00203861"/>
    <w:rsid w:val="00203C74"/>
    <w:rsid w:val="0021066E"/>
    <w:rsid w:val="002119E2"/>
    <w:rsid w:val="002139A0"/>
    <w:rsid w:val="002155B4"/>
    <w:rsid w:val="00225352"/>
    <w:rsid w:val="00226EFC"/>
    <w:rsid w:val="0023270C"/>
    <w:rsid w:val="0023382F"/>
    <w:rsid w:val="00235B4C"/>
    <w:rsid w:val="002375E8"/>
    <w:rsid w:val="00241301"/>
    <w:rsid w:val="00242597"/>
    <w:rsid w:val="00243556"/>
    <w:rsid w:val="002446F0"/>
    <w:rsid w:val="0024473A"/>
    <w:rsid w:val="002450E4"/>
    <w:rsid w:val="002456AD"/>
    <w:rsid w:val="0025076B"/>
    <w:rsid w:val="00250DA9"/>
    <w:rsid w:val="002511F8"/>
    <w:rsid w:val="002637C7"/>
    <w:rsid w:val="002668B1"/>
    <w:rsid w:val="00271105"/>
    <w:rsid w:val="00274E92"/>
    <w:rsid w:val="002750AE"/>
    <w:rsid w:val="002800BC"/>
    <w:rsid w:val="002824D9"/>
    <w:rsid w:val="00291F35"/>
    <w:rsid w:val="0029480F"/>
    <w:rsid w:val="00296F78"/>
    <w:rsid w:val="002A3544"/>
    <w:rsid w:val="002A4583"/>
    <w:rsid w:val="002A7A04"/>
    <w:rsid w:val="002B106C"/>
    <w:rsid w:val="002B2226"/>
    <w:rsid w:val="002B39ED"/>
    <w:rsid w:val="002B54DB"/>
    <w:rsid w:val="002B5514"/>
    <w:rsid w:val="002C050D"/>
    <w:rsid w:val="002C29D9"/>
    <w:rsid w:val="002C62E8"/>
    <w:rsid w:val="002C6303"/>
    <w:rsid w:val="002C6504"/>
    <w:rsid w:val="002C6D29"/>
    <w:rsid w:val="002C6E0A"/>
    <w:rsid w:val="002D2FFA"/>
    <w:rsid w:val="002D4BF6"/>
    <w:rsid w:val="002D5EDB"/>
    <w:rsid w:val="002D67BE"/>
    <w:rsid w:val="002D74FC"/>
    <w:rsid w:val="002E3E93"/>
    <w:rsid w:val="002E7F0B"/>
    <w:rsid w:val="002F3F6C"/>
    <w:rsid w:val="002F4D05"/>
    <w:rsid w:val="002F4F43"/>
    <w:rsid w:val="00301F21"/>
    <w:rsid w:val="0030524B"/>
    <w:rsid w:val="00305EF4"/>
    <w:rsid w:val="003062A4"/>
    <w:rsid w:val="00306ADD"/>
    <w:rsid w:val="00307B1E"/>
    <w:rsid w:val="00311EF6"/>
    <w:rsid w:val="00312F74"/>
    <w:rsid w:val="0032063F"/>
    <w:rsid w:val="00321039"/>
    <w:rsid w:val="00321AB9"/>
    <w:rsid w:val="00324B76"/>
    <w:rsid w:val="00327DE2"/>
    <w:rsid w:val="003303DC"/>
    <w:rsid w:val="00332B59"/>
    <w:rsid w:val="00334264"/>
    <w:rsid w:val="00335B23"/>
    <w:rsid w:val="00341E2C"/>
    <w:rsid w:val="00343D1F"/>
    <w:rsid w:val="00343E61"/>
    <w:rsid w:val="0035539C"/>
    <w:rsid w:val="00355545"/>
    <w:rsid w:val="0036199A"/>
    <w:rsid w:val="0036531A"/>
    <w:rsid w:val="00374F2A"/>
    <w:rsid w:val="0037761E"/>
    <w:rsid w:val="00385315"/>
    <w:rsid w:val="00386429"/>
    <w:rsid w:val="003936C9"/>
    <w:rsid w:val="00393989"/>
    <w:rsid w:val="003A3A86"/>
    <w:rsid w:val="003B157E"/>
    <w:rsid w:val="003C2E6B"/>
    <w:rsid w:val="003C35F0"/>
    <w:rsid w:val="003C3B7C"/>
    <w:rsid w:val="003C59D4"/>
    <w:rsid w:val="003D0B12"/>
    <w:rsid w:val="003D3D36"/>
    <w:rsid w:val="003D4968"/>
    <w:rsid w:val="003D6470"/>
    <w:rsid w:val="003E01BA"/>
    <w:rsid w:val="003E03A1"/>
    <w:rsid w:val="003E7CBC"/>
    <w:rsid w:val="003F1237"/>
    <w:rsid w:val="003F1517"/>
    <w:rsid w:val="003F35EE"/>
    <w:rsid w:val="003F50D9"/>
    <w:rsid w:val="003F54AD"/>
    <w:rsid w:val="003F7690"/>
    <w:rsid w:val="003F79BA"/>
    <w:rsid w:val="00405486"/>
    <w:rsid w:val="00407751"/>
    <w:rsid w:val="00407B6F"/>
    <w:rsid w:val="00414967"/>
    <w:rsid w:val="0041796E"/>
    <w:rsid w:val="00423B44"/>
    <w:rsid w:val="00423E60"/>
    <w:rsid w:val="00430D0A"/>
    <w:rsid w:val="00433901"/>
    <w:rsid w:val="00437165"/>
    <w:rsid w:val="004400A7"/>
    <w:rsid w:val="00444CBC"/>
    <w:rsid w:val="00444FA7"/>
    <w:rsid w:val="00450169"/>
    <w:rsid w:val="00453213"/>
    <w:rsid w:val="004533C7"/>
    <w:rsid w:val="00453966"/>
    <w:rsid w:val="004544B6"/>
    <w:rsid w:val="00455E89"/>
    <w:rsid w:val="00456BF2"/>
    <w:rsid w:val="00461225"/>
    <w:rsid w:val="00464685"/>
    <w:rsid w:val="00466221"/>
    <w:rsid w:val="004704A0"/>
    <w:rsid w:val="00471E3C"/>
    <w:rsid w:val="004738CD"/>
    <w:rsid w:val="0047411C"/>
    <w:rsid w:val="004762D8"/>
    <w:rsid w:val="004765AE"/>
    <w:rsid w:val="0048238F"/>
    <w:rsid w:val="00484A93"/>
    <w:rsid w:val="00485751"/>
    <w:rsid w:val="00490742"/>
    <w:rsid w:val="004A39E8"/>
    <w:rsid w:val="004A4D6D"/>
    <w:rsid w:val="004A4D94"/>
    <w:rsid w:val="004B2184"/>
    <w:rsid w:val="004C24C1"/>
    <w:rsid w:val="004C3B10"/>
    <w:rsid w:val="004C6B80"/>
    <w:rsid w:val="004D51B8"/>
    <w:rsid w:val="004E02C8"/>
    <w:rsid w:val="004E144E"/>
    <w:rsid w:val="004E258A"/>
    <w:rsid w:val="004E7647"/>
    <w:rsid w:val="004F65BC"/>
    <w:rsid w:val="005022F0"/>
    <w:rsid w:val="005071F4"/>
    <w:rsid w:val="005128BD"/>
    <w:rsid w:val="005174A0"/>
    <w:rsid w:val="0052523A"/>
    <w:rsid w:val="0052563C"/>
    <w:rsid w:val="00531763"/>
    <w:rsid w:val="00532E4B"/>
    <w:rsid w:val="005369C9"/>
    <w:rsid w:val="00540037"/>
    <w:rsid w:val="0054427E"/>
    <w:rsid w:val="00550BF6"/>
    <w:rsid w:val="0055421D"/>
    <w:rsid w:val="00556FB0"/>
    <w:rsid w:val="00561A1A"/>
    <w:rsid w:val="00561E0A"/>
    <w:rsid w:val="00563676"/>
    <w:rsid w:val="00563C08"/>
    <w:rsid w:val="00566299"/>
    <w:rsid w:val="00570F28"/>
    <w:rsid w:val="00571ADB"/>
    <w:rsid w:val="00580C4C"/>
    <w:rsid w:val="00582283"/>
    <w:rsid w:val="00582725"/>
    <w:rsid w:val="00584CF7"/>
    <w:rsid w:val="005873B6"/>
    <w:rsid w:val="005876E6"/>
    <w:rsid w:val="0059778E"/>
    <w:rsid w:val="005A0BE6"/>
    <w:rsid w:val="005A5A4C"/>
    <w:rsid w:val="005A6751"/>
    <w:rsid w:val="005A77CE"/>
    <w:rsid w:val="005A77F9"/>
    <w:rsid w:val="005B6555"/>
    <w:rsid w:val="005B7505"/>
    <w:rsid w:val="005B7AE9"/>
    <w:rsid w:val="005C17E2"/>
    <w:rsid w:val="005C3FC4"/>
    <w:rsid w:val="005C4087"/>
    <w:rsid w:val="005C5AC5"/>
    <w:rsid w:val="005D05CD"/>
    <w:rsid w:val="005D1428"/>
    <w:rsid w:val="005D154B"/>
    <w:rsid w:val="005D39E4"/>
    <w:rsid w:val="005E05CE"/>
    <w:rsid w:val="005E07E3"/>
    <w:rsid w:val="005E24F7"/>
    <w:rsid w:val="005E5E76"/>
    <w:rsid w:val="005F1DA5"/>
    <w:rsid w:val="005F7B55"/>
    <w:rsid w:val="00603960"/>
    <w:rsid w:val="00606913"/>
    <w:rsid w:val="00612F28"/>
    <w:rsid w:val="00615C98"/>
    <w:rsid w:val="00621AD8"/>
    <w:rsid w:val="006228DF"/>
    <w:rsid w:val="00625120"/>
    <w:rsid w:val="00625986"/>
    <w:rsid w:val="00626532"/>
    <w:rsid w:val="00630713"/>
    <w:rsid w:val="00635683"/>
    <w:rsid w:val="00640BDF"/>
    <w:rsid w:val="00642E4F"/>
    <w:rsid w:val="00655D77"/>
    <w:rsid w:val="00657CF8"/>
    <w:rsid w:val="00660FE6"/>
    <w:rsid w:val="006625DF"/>
    <w:rsid w:val="006644E5"/>
    <w:rsid w:val="006717B7"/>
    <w:rsid w:val="00682334"/>
    <w:rsid w:val="006852B5"/>
    <w:rsid w:val="00685631"/>
    <w:rsid w:val="00686024"/>
    <w:rsid w:val="00687F64"/>
    <w:rsid w:val="00692621"/>
    <w:rsid w:val="00692693"/>
    <w:rsid w:val="00693B61"/>
    <w:rsid w:val="00694382"/>
    <w:rsid w:val="00696541"/>
    <w:rsid w:val="006A1CCC"/>
    <w:rsid w:val="006A1EDE"/>
    <w:rsid w:val="006A2C53"/>
    <w:rsid w:val="006A3130"/>
    <w:rsid w:val="006A375C"/>
    <w:rsid w:val="006A6920"/>
    <w:rsid w:val="006B049E"/>
    <w:rsid w:val="006B31EF"/>
    <w:rsid w:val="006B5598"/>
    <w:rsid w:val="006B64FF"/>
    <w:rsid w:val="006B7500"/>
    <w:rsid w:val="006B7727"/>
    <w:rsid w:val="006B7C10"/>
    <w:rsid w:val="006B7D08"/>
    <w:rsid w:val="006C2AB0"/>
    <w:rsid w:val="006C2ADE"/>
    <w:rsid w:val="006C4DC7"/>
    <w:rsid w:val="006C6988"/>
    <w:rsid w:val="006D1395"/>
    <w:rsid w:val="006D4111"/>
    <w:rsid w:val="006D6958"/>
    <w:rsid w:val="006E04DB"/>
    <w:rsid w:val="006E3861"/>
    <w:rsid w:val="006E52EA"/>
    <w:rsid w:val="006E655E"/>
    <w:rsid w:val="006E7312"/>
    <w:rsid w:val="006F3312"/>
    <w:rsid w:val="006F37C3"/>
    <w:rsid w:val="006F3919"/>
    <w:rsid w:val="006F67E9"/>
    <w:rsid w:val="006F75E4"/>
    <w:rsid w:val="00703546"/>
    <w:rsid w:val="00704B05"/>
    <w:rsid w:val="00704DE2"/>
    <w:rsid w:val="0070788D"/>
    <w:rsid w:val="00716CCA"/>
    <w:rsid w:val="007340C7"/>
    <w:rsid w:val="007401DA"/>
    <w:rsid w:val="0074070A"/>
    <w:rsid w:val="00741369"/>
    <w:rsid w:val="007418E5"/>
    <w:rsid w:val="007424E8"/>
    <w:rsid w:val="00743727"/>
    <w:rsid w:val="0074405A"/>
    <w:rsid w:val="007460EA"/>
    <w:rsid w:val="00752991"/>
    <w:rsid w:val="00753219"/>
    <w:rsid w:val="007630B1"/>
    <w:rsid w:val="00765267"/>
    <w:rsid w:val="00767FD3"/>
    <w:rsid w:val="00771EB7"/>
    <w:rsid w:val="00773B9F"/>
    <w:rsid w:val="00776682"/>
    <w:rsid w:val="007770AD"/>
    <w:rsid w:val="00777D3A"/>
    <w:rsid w:val="007809B5"/>
    <w:rsid w:val="00781215"/>
    <w:rsid w:val="00795943"/>
    <w:rsid w:val="007A125B"/>
    <w:rsid w:val="007A663C"/>
    <w:rsid w:val="007B227B"/>
    <w:rsid w:val="007B2E1D"/>
    <w:rsid w:val="007B6828"/>
    <w:rsid w:val="007C54BC"/>
    <w:rsid w:val="007C6260"/>
    <w:rsid w:val="007C7D38"/>
    <w:rsid w:val="007D06C4"/>
    <w:rsid w:val="007D2430"/>
    <w:rsid w:val="007D662F"/>
    <w:rsid w:val="007E0041"/>
    <w:rsid w:val="007E1102"/>
    <w:rsid w:val="007E176A"/>
    <w:rsid w:val="007E2FBD"/>
    <w:rsid w:val="007E4F59"/>
    <w:rsid w:val="008000EC"/>
    <w:rsid w:val="00800CD3"/>
    <w:rsid w:val="00802BBA"/>
    <w:rsid w:val="008032DF"/>
    <w:rsid w:val="00803343"/>
    <w:rsid w:val="008063A2"/>
    <w:rsid w:val="00807203"/>
    <w:rsid w:val="00810CD8"/>
    <w:rsid w:val="00814192"/>
    <w:rsid w:val="00814EDA"/>
    <w:rsid w:val="008164B4"/>
    <w:rsid w:val="008170AE"/>
    <w:rsid w:val="008256BE"/>
    <w:rsid w:val="008258D2"/>
    <w:rsid w:val="00826876"/>
    <w:rsid w:val="008439F4"/>
    <w:rsid w:val="00851E43"/>
    <w:rsid w:val="0085790F"/>
    <w:rsid w:val="00862568"/>
    <w:rsid w:val="00862FD9"/>
    <w:rsid w:val="0086542F"/>
    <w:rsid w:val="0086649D"/>
    <w:rsid w:val="008729CD"/>
    <w:rsid w:val="008806D8"/>
    <w:rsid w:val="00880E50"/>
    <w:rsid w:val="0089324E"/>
    <w:rsid w:val="008932EA"/>
    <w:rsid w:val="008976E6"/>
    <w:rsid w:val="008A3C5D"/>
    <w:rsid w:val="008A5509"/>
    <w:rsid w:val="008B6EF1"/>
    <w:rsid w:val="008C37C6"/>
    <w:rsid w:val="008C7405"/>
    <w:rsid w:val="008D04B2"/>
    <w:rsid w:val="008D0577"/>
    <w:rsid w:val="008D15E7"/>
    <w:rsid w:val="008D4543"/>
    <w:rsid w:val="008D5231"/>
    <w:rsid w:val="008E01E7"/>
    <w:rsid w:val="008E07DF"/>
    <w:rsid w:val="008E13A1"/>
    <w:rsid w:val="008E3EE0"/>
    <w:rsid w:val="008F5D4D"/>
    <w:rsid w:val="008F7791"/>
    <w:rsid w:val="00902177"/>
    <w:rsid w:val="00902C4E"/>
    <w:rsid w:val="00903CE9"/>
    <w:rsid w:val="00905071"/>
    <w:rsid w:val="00906A4F"/>
    <w:rsid w:val="00906C1E"/>
    <w:rsid w:val="00914117"/>
    <w:rsid w:val="00916AB6"/>
    <w:rsid w:val="00920767"/>
    <w:rsid w:val="00921337"/>
    <w:rsid w:val="00923609"/>
    <w:rsid w:val="00923920"/>
    <w:rsid w:val="00926CA9"/>
    <w:rsid w:val="00941BBB"/>
    <w:rsid w:val="0094523E"/>
    <w:rsid w:val="009519F6"/>
    <w:rsid w:val="009521B0"/>
    <w:rsid w:val="009551D7"/>
    <w:rsid w:val="00955A59"/>
    <w:rsid w:val="009562F2"/>
    <w:rsid w:val="00957127"/>
    <w:rsid w:val="00957C89"/>
    <w:rsid w:val="0096074E"/>
    <w:rsid w:val="00961868"/>
    <w:rsid w:val="00962382"/>
    <w:rsid w:val="00967439"/>
    <w:rsid w:val="00973E72"/>
    <w:rsid w:val="009822C9"/>
    <w:rsid w:val="0099227C"/>
    <w:rsid w:val="00992E57"/>
    <w:rsid w:val="009A2FAD"/>
    <w:rsid w:val="009A4767"/>
    <w:rsid w:val="009A4F67"/>
    <w:rsid w:val="009A7FA3"/>
    <w:rsid w:val="009B0C2A"/>
    <w:rsid w:val="009B0ED8"/>
    <w:rsid w:val="009B71B9"/>
    <w:rsid w:val="009C0B8B"/>
    <w:rsid w:val="009C2077"/>
    <w:rsid w:val="009C4FEA"/>
    <w:rsid w:val="009C7FB0"/>
    <w:rsid w:val="009D01D4"/>
    <w:rsid w:val="009D4408"/>
    <w:rsid w:val="009D48C4"/>
    <w:rsid w:val="009D7481"/>
    <w:rsid w:val="009E07F8"/>
    <w:rsid w:val="009F0F37"/>
    <w:rsid w:val="009F3410"/>
    <w:rsid w:val="00A00143"/>
    <w:rsid w:val="00A0242E"/>
    <w:rsid w:val="00A04437"/>
    <w:rsid w:val="00A06C81"/>
    <w:rsid w:val="00A107C9"/>
    <w:rsid w:val="00A11222"/>
    <w:rsid w:val="00A24132"/>
    <w:rsid w:val="00A27FF1"/>
    <w:rsid w:val="00A3106E"/>
    <w:rsid w:val="00A353FA"/>
    <w:rsid w:val="00A41313"/>
    <w:rsid w:val="00A41A50"/>
    <w:rsid w:val="00A447E8"/>
    <w:rsid w:val="00A454E0"/>
    <w:rsid w:val="00A50116"/>
    <w:rsid w:val="00A51066"/>
    <w:rsid w:val="00A54D51"/>
    <w:rsid w:val="00A55C23"/>
    <w:rsid w:val="00A661BB"/>
    <w:rsid w:val="00A66ED6"/>
    <w:rsid w:val="00A70EBC"/>
    <w:rsid w:val="00A74C2F"/>
    <w:rsid w:val="00A91B5C"/>
    <w:rsid w:val="00AA3661"/>
    <w:rsid w:val="00AA3A13"/>
    <w:rsid w:val="00AB56B4"/>
    <w:rsid w:val="00AB74D9"/>
    <w:rsid w:val="00AC18E5"/>
    <w:rsid w:val="00AC68E8"/>
    <w:rsid w:val="00AD505E"/>
    <w:rsid w:val="00AD7DE7"/>
    <w:rsid w:val="00AE2D1B"/>
    <w:rsid w:val="00AE2F9D"/>
    <w:rsid w:val="00AE355A"/>
    <w:rsid w:val="00AE39C4"/>
    <w:rsid w:val="00AE4600"/>
    <w:rsid w:val="00AE5A34"/>
    <w:rsid w:val="00AF3512"/>
    <w:rsid w:val="00AF4A8A"/>
    <w:rsid w:val="00AF4E6B"/>
    <w:rsid w:val="00AF6A45"/>
    <w:rsid w:val="00B00987"/>
    <w:rsid w:val="00B01183"/>
    <w:rsid w:val="00B10B5A"/>
    <w:rsid w:val="00B110DE"/>
    <w:rsid w:val="00B2038A"/>
    <w:rsid w:val="00B21042"/>
    <w:rsid w:val="00B22FC9"/>
    <w:rsid w:val="00B30C47"/>
    <w:rsid w:val="00B42BFF"/>
    <w:rsid w:val="00B44A88"/>
    <w:rsid w:val="00B46775"/>
    <w:rsid w:val="00B476F2"/>
    <w:rsid w:val="00B52F63"/>
    <w:rsid w:val="00B53FC7"/>
    <w:rsid w:val="00B56D3F"/>
    <w:rsid w:val="00B6253A"/>
    <w:rsid w:val="00B63A96"/>
    <w:rsid w:val="00B679C1"/>
    <w:rsid w:val="00B74337"/>
    <w:rsid w:val="00B74949"/>
    <w:rsid w:val="00B76C11"/>
    <w:rsid w:val="00B770BA"/>
    <w:rsid w:val="00B77CC1"/>
    <w:rsid w:val="00B81E41"/>
    <w:rsid w:val="00B85C41"/>
    <w:rsid w:val="00B912EA"/>
    <w:rsid w:val="00B92A7E"/>
    <w:rsid w:val="00B932B8"/>
    <w:rsid w:val="00B94A12"/>
    <w:rsid w:val="00B97D6C"/>
    <w:rsid w:val="00BA078A"/>
    <w:rsid w:val="00BA334E"/>
    <w:rsid w:val="00BA7877"/>
    <w:rsid w:val="00BC300F"/>
    <w:rsid w:val="00BC4A23"/>
    <w:rsid w:val="00BC76DF"/>
    <w:rsid w:val="00BD09EF"/>
    <w:rsid w:val="00BD185B"/>
    <w:rsid w:val="00BD6AB6"/>
    <w:rsid w:val="00BD7A19"/>
    <w:rsid w:val="00BE2E7F"/>
    <w:rsid w:val="00BE2EF7"/>
    <w:rsid w:val="00BE36CD"/>
    <w:rsid w:val="00BE6534"/>
    <w:rsid w:val="00BF215F"/>
    <w:rsid w:val="00BF243D"/>
    <w:rsid w:val="00BF48FA"/>
    <w:rsid w:val="00BF699E"/>
    <w:rsid w:val="00C00CA6"/>
    <w:rsid w:val="00C00F94"/>
    <w:rsid w:val="00C136CC"/>
    <w:rsid w:val="00C24ADB"/>
    <w:rsid w:val="00C3202E"/>
    <w:rsid w:val="00C330D5"/>
    <w:rsid w:val="00C3515F"/>
    <w:rsid w:val="00C35587"/>
    <w:rsid w:val="00C402DF"/>
    <w:rsid w:val="00C423A8"/>
    <w:rsid w:val="00C42E5F"/>
    <w:rsid w:val="00C44BB3"/>
    <w:rsid w:val="00C47F9C"/>
    <w:rsid w:val="00C52083"/>
    <w:rsid w:val="00C5504F"/>
    <w:rsid w:val="00C6353E"/>
    <w:rsid w:val="00C808E3"/>
    <w:rsid w:val="00C8142F"/>
    <w:rsid w:val="00C81F6B"/>
    <w:rsid w:val="00C82C69"/>
    <w:rsid w:val="00C851C1"/>
    <w:rsid w:val="00C87334"/>
    <w:rsid w:val="00C904C8"/>
    <w:rsid w:val="00C96D99"/>
    <w:rsid w:val="00CB169E"/>
    <w:rsid w:val="00CB47B8"/>
    <w:rsid w:val="00CC099D"/>
    <w:rsid w:val="00CC1035"/>
    <w:rsid w:val="00CC46DB"/>
    <w:rsid w:val="00CC50F0"/>
    <w:rsid w:val="00CD09BB"/>
    <w:rsid w:val="00CD3A1A"/>
    <w:rsid w:val="00CE314B"/>
    <w:rsid w:val="00CE329A"/>
    <w:rsid w:val="00CF2F6E"/>
    <w:rsid w:val="00CF37E5"/>
    <w:rsid w:val="00CF58E3"/>
    <w:rsid w:val="00D00409"/>
    <w:rsid w:val="00D00530"/>
    <w:rsid w:val="00D07234"/>
    <w:rsid w:val="00D11824"/>
    <w:rsid w:val="00D13C01"/>
    <w:rsid w:val="00D14FAA"/>
    <w:rsid w:val="00D17B0F"/>
    <w:rsid w:val="00D21400"/>
    <w:rsid w:val="00D27784"/>
    <w:rsid w:val="00D31187"/>
    <w:rsid w:val="00D36271"/>
    <w:rsid w:val="00D3776B"/>
    <w:rsid w:val="00D45DA8"/>
    <w:rsid w:val="00D4656B"/>
    <w:rsid w:val="00D5065A"/>
    <w:rsid w:val="00D50E6B"/>
    <w:rsid w:val="00D51882"/>
    <w:rsid w:val="00D56510"/>
    <w:rsid w:val="00D5720A"/>
    <w:rsid w:val="00D62D44"/>
    <w:rsid w:val="00D62E82"/>
    <w:rsid w:val="00D70280"/>
    <w:rsid w:val="00D72124"/>
    <w:rsid w:val="00D81022"/>
    <w:rsid w:val="00D83610"/>
    <w:rsid w:val="00D83D08"/>
    <w:rsid w:val="00D83DCD"/>
    <w:rsid w:val="00D840A0"/>
    <w:rsid w:val="00D84239"/>
    <w:rsid w:val="00D873B7"/>
    <w:rsid w:val="00D97814"/>
    <w:rsid w:val="00DA1558"/>
    <w:rsid w:val="00DB18FD"/>
    <w:rsid w:val="00DB19D0"/>
    <w:rsid w:val="00DB603C"/>
    <w:rsid w:val="00DB6F35"/>
    <w:rsid w:val="00DC0B75"/>
    <w:rsid w:val="00DC58D2"/>
    <w:rsid w:val="00DE09D6"/>
    <w:rsid w:val="00DE2879"/>
    <w:rsid w:val="00DE4312"/>
    <w:rsid w:val="00DF0249"/>
    <w:rsid w:val="00DF05AD"/>
    <w:rsid w:val="00DF29B6"/>
    <w:rsid w:val="00DF31B5"/>
    <w:rsid w:val="00DF3CA0"/>
    <w:rsid w:val="00DF3FB9"/>
    <w:rsid w:val="00E0242D"/>
    <w:rsid w:val="00E02D0B"/>
    <w:rsid w:val="00E0738A"/>
    <w:rsid w:val="00E07ABA"/>
    <w:rsid w:val="00E11384"/>
    <w:rsid w:val="00E13FFC"/>
    <w:rsid w:val="00E14BA3"/>
    <w:rsid w:val="00E16EB2"/>
    <w:rsid w:val="00E23F77"/>
    <w:rsid w:val="00E301AB"/>
    <w:rsid w:val="00E32E17"/>
    <w:rsid w:val="00E37768"/>
    <w:rsid w:val="00E41E16"/>
    <w:rsid w:val="00E4213D"/>
    <w:rsid w:val="00E44338"/>
    <w:rsid w:val="00E45282"/>
    <w:rsid w:val="00E5023E"/>
    <w:rsid w:val="00E54E0E"/>
    <w:rsid w:val="00E626DF"/>
    <w:rsid w:val="00E64754"/>
    <w:rsid w:val="00E71BDE"/>
    <w:rsid w:val="00E72945"/>
    <w:rsid w:val="00E736A8"/>
    <w:rsid w:val="00E7447A"/>
    <w:rsid w:val="00E767B2"/>
    <w:rsid w:val="00E82ACE"/>
    <w:rsid w:val="00E83C13"/>
    <w:rsid w:val="00E91C9A"/>
    <w:rsid w:val="00E92BF2"/>
    <w:rsid w:val="00E938EE"/>
    <w:rsid w:val="00E95806"/>
    <w:rsid w:val="00EA2258"/>
    <w:rsid w:val="00EA4F54"/>
    <w:rsid w:val="00EB092F"/>
    <w:rsid w:val="00EB1877"/>
    <w:rsid w:val="00EC0AC9"/>
    <w:rsid w:val="00EC478A"/>
    <w:rsid w:val="00EC48F1"/>
    <w:rsid w:val="00EC4A72"/>
    <w:rsid w:val="00EC50C2"/>
    <w:rsid w:val="00ED3B2B"/>
    <w:rsid w:val="00ED3C2A"/>
    <w:rsid w:val="00EE510D"/>
    <w:rsid w:val="00EE62CE"/>
    <w:rsid w:val="00EE63C0"/>
    <w:rsid w:val="00EF1B9D"/>
    <w:rsid w:val="00EF3E59"/>
    <w:rsid w:val="00EF3FD6"/>
    <w:rsid w:val="00F01E65"/>
    <w:rsid w:val="00F03734"/>
    <w:rsid w:val="00F101DF"/>
    <w:rsid w:val="00F11A3F"/>
    <w:rsid w:val="00F11C8D"/>
    <w:rsid w:val="00F12FB1"/>
    <w:rsid w:val="00F16C87"/>
    <w:rsid w:val="00F16E7D"/>
    <w:rsid w:val="00F1709E"/>
    <w:rsid w:val="00F23DCA"/>
    <w:rsid w:val="00F33EC5"/>
    <w:rsid w:val="00F4210A"/>
    <w:rsid w:val="00F45AB1"/>
    <w:rsid w:val="00F47563"/>
    <w:rsid w:val="00F5522F"/>
    <w:rsid w:val="00F579B2"/>
    <w:rsid w:val="00F6014E"/>
    <w:rsid w:val="00F6060A"/>
    <w:rsid w:val="00F60D05"/>
    <w:rsid w:val="00F65FC5"/>
    <w:rsid w:val="00F667CA"/>
    <w:rsid w:val="00F67967"/>
    <w:rsid w:val="00F760E6"/>
    <w:rsid w:val="00F76CC8"/>
    <w:rsid w:val="00F818BB"/>
    <w:rsid w:val="00F82BB2"/>
    <w:rsid w:val="00F872A8"/>
    <w:rsid w:val="00F96BAC"/>
    <w:rsid w:val="00FA1829"/>
    <w:rsid w:val="00FA496C"/>
    <w:rsid w:val="00FB62F7"/>
    <w:rsid w:val="00FC0B89"/>
    <w:rsid w:val="00FD3DA2"/>
    <w:rsid w:val="00FD4D5F"/>
    <w:rsid w:val="00FD5421"/>
    <w:rsid w:val="00FE59CF"/>
    <w:rsid w:val="00FF0AF9"/>
    <w:rsid w:val="00FF0DA1"/>
    <w:rsid w:val="00FF2D26"/>
    <w:rsid w:val="00FF2FE2"/>
    <w:rsid w:val="00FF45F0"/>
    <w:rsid w:val="00FF484D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7061B"/>
  <w15:chartTrackingRefBased/>
  <w15:docId w15:val="{EC31516A-8206-4531-AF07-EFE4A870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4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Emphasis">
    <w:name w:val="Emphasis"/>
    <w:uiPriority w:val="20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widowControl w:val="0"/>
      <w:jc w:val="both"/>
    </w:pPr>
    <w:rPr>
      <w:rFonts w:eastAsia="Times New Roman"/>
      <w:snapToGrid w:val="0"/>
      <w:color w:val="000000"/>
      <w:sz w:val="22"/>
      <w:szCs w:val="20"/>
      <w:lang w:eastAsia="en-US"/>
    </w:rPr>
  </w:style>
  <w:style w:type="character" w:customStyle="1" w:styleId="searchterm1">
    <w:name w:val="searchterm1"/>
    <w:rPr>
      <w:b/>
      <w:bCs/>
      <w:strike w:val="0"/>
      <w:dstrike w:val="0"/>
      <w:color w:val="000000"/>
      <w:u w:val="none"/>
      <w:effect w:val="none"/>
      <w:shd w:val="clear" w:color="auto" w:fill="FFFF00"/>
    </w:rPr>
  </w:style>
  <w:style w:type="paragraph" w:styleId="BodyText">
    <w:name w:val="Body Text"/>
    <w:basedOn w:val="Normal"/>
    <w:semiHidden/>
    <w:pPr>
      <w:jc w:val="center"/>
    </w:pPr>
    <w:rPr>
      <w:b/>
      <w:i/>
      <w:sz w:val="36"/>
      <w:szCs w:val="36"/>
    </w:rPr>
  </w:style>
  <w:style w:type="paragraph" w:styleId="BodyText2">
    <w:name w:val="Body Text 2"/>
    <w:basedOn w:val="Normal"/>
    <w:semiHidden/>
    <w:pPr>
      <w:jc w:val="both"/>
    </w:pPr>
  </w:style>
  <w:style w:type="character" w:customStyle="1" w:styleId="Heading4Char">
    <w:name w:val="Heading 4 Char"/>
    <w:link w:val="Heading4"/>
    <w:uiPriority w:val="9"/>
    <w:rsid w:val="002B54DB"/>
    <w:rPr>
      <w:rFonts w:ascii="Calibri" w:eastAsia="Times New Roman" w:hAnsi="Calibri"/>
      <w:b/>
      <w:bCs/>
      <w:sz w:val="28"/>
      <w:szCs w:val="28"/>
    </w:rPr>
  </w:style>
  <w:style w:type="character" w:styleId="FootnoteReference">
    <w:name w:val="footnote reference"/>
    <w:uiPriority w:val="99"/>
    <w:semiHidden/>
    <w:rsid w:val="000678F7"/>
  </w:style>
  <w:style w:type="paragraph" w:styleId="FootnoteText">
    <w:name w:val="footnote text"/>
    <w:basedOn w:val="Normal"/>
    <w:link w:val="FootnoteTextChar"/>
    <w:uiPriority w:val="99"/>
    <w:semiHidden/>
    <w:rsid w:val="000678F7"/>
    <w:pPr>
      <w:widowControl w:val="0"/>
    </w:pPr>
    <w:rPr>
      <w:rFonts w:eastAsia="Times New Roman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0678F7"/>
    <w:rPr>
      <w:rFonts w:eastAsia="Times New Roman"/>
      <w:sz w:val="24"/>
      <w:szCs w:val="24"/>
    </w:rPr>
  </w:style>
  <w:style w:type="character" w:customStyle="1" w:styleId="hit">
    <w:name w:val="hit"/>
    <w:rsid w:val="000678F7"/>
    <w:rPr>
      <w:b/>
      <w:bCs/>
      <w:shd w:val="clear" w:color="auto" w:fill="FCE128"/>
    </w:rPr>
  </w:style>
  <w:style w:type="paragraph" w:styleId="ListParagraph">
    <w:name w:val="List Paragraph"/>
    <w:basedOn w:val="Normal"/>
    <w:uiPriority w:val="34"/>
    <w:qFormat/>
    <w:rsid w:val="00056D11"/>
    <w:pPr>
      <w:ind w:left="720"/>
    </w:pPr>
  </w:style>
  <w:style w:type="character" w:customStyle="1" w:styleId="apple-style-span">
    <w:name w:val="apple-style-span"/>
    <w:basedOn w:val="DefaultParagraphFont"/>
    <w:rsid w:val="00C6353E"/>
  </w:style>
  <w:style w:type="character" w:customStyle="1" w:styleId="apple-converted-space">
    <w:name w:val="apple-converted-space"/>
    <w:basedOn w:val="DefaultParagraphFont"/>
    <w:rsid w:val="00C6353E"/>
  </w:style>
  <w:style w:type="character" w:customStyle="1" w:styleId="bestsection">
    <w:name w:val="best_section"/>
    <w:rsid w:val="0070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8BFD-8F97-4AC6-8F9B-F86A4DEF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tax laws continue to provide opportunities for the wise and traps for the unwary</vt:lpstr>
    </vt:vector>
  </TitlesOfParts>
  <Company>Home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tax laws continue to provide opportunities for the wise and traps for the unwary</dc:title>
  <dc:subject/>
  <dc:creator>Andy</dc:creator>
  <cp:keywords/>
  <cp:lastModifiedBy>mjmartin@gassnerassoc.com</cp:lastModifiedBy>
  <cp:revision>3</cp:revision>
  <cp:lastPrinted>2022-11-15T19:21:00Z</cp:lastPrinted>
  <dcterms:created xsi:type="dcterms:W3CDTF">2022-11-15T19:21:00Z</dcterms:created>
  <dcterms:modified xsi:type="dcterms:W3CDTF">2022-11-28T18:14:00Z</dcterms:modified>
</cp:coreProperties>
</file>